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jc w:val="center"/>
      </w:pPr>
      <w:r>
        <w:drawing>
          <wp:inline xmlns:a="http://schemas.openxmlformats.org/drawingml/2006/main" xmlns:pic="http://schemas.openxmlformats.org/drawingml/2006/picture">
            <wp:extent cx="4114800" cy="1341605"/>
            <wp:docPr id="1" name="Picture 1"/>
            <wp:cNvGraphicFramePr>
              <a:graphicFrameLocks noChangeAspect="1"/>
            </wp:cNvGraphicFramePr>
            <a:graphic>
              <a:graphicData uri="http://schemas.openxmlformats.org/drawingml/2006/picture">
                <pic:pic>
                  <pic:nvPicPr>
                    <pic:cNvPr id="0" name="logo.png"/>
                    <pic:cNvPicPr/>
                  </pic:nvPicPr>
                  <pic:blipFill>
                    <a:blip r:embed="rId10"/>
                    <a:stretch>
                      <a:fillRect/>
                    </a:stretch>
                  </pic:blipFill>
                  <pic:spPr>
                    <a:xfrm>
                      <a:off x="0" y="0"/>
                      <a:ext cx="4114800" cy="1341605"/>
                    </a:xfrm>
                    <a:prstGeom prst="rect"/>
                  </pic:spPr>
                </pic:pic>
              </a:graphicData>
            </a:graphic>
          </wp:inline>
        </w:drawing>
      </w:r>
    </w:p>
    <w:p>
      <w:pPr>
        <w:jc w:val="center"/>
      </w:pPr>
      <w:r>
        <w:drawing>
          <wp:inline xmlns:a="http://schemas.openxmlformats.org/drawingml/2006/main" xmlns:pic="http://schemas.openxmlformats.org/drawingml/2006/picture">
            <wp:extent cx="6309360" cy="4197828"/>
            <wp:docPr id="2" name="Picture 2"/>
            <wp:cNvGraphicFramePr>
              <a:graphicFrameLocks noChangeAspect="1"/>
            </wp:cNvGraphicFramePr>
            <a:graphic>
              <a:graphicData uri="http://schemas.openxmlformats.org/drawingml/2006/picture">
                <pic:pic>
                  <pic:nvPicPr>
                    <pic:cNvPr id="0" name="open_engine.png"/>
                    <pic:cNvPicPr/>
                  </pic:nvPicPr>
                  <pic:blipFill>
                    <a:blip r:embed="rId11"/>
                    <a:stretch>
                      <a:fillRect/>
                    </a:stretch>
                  </pic:blipFill>
                  <pic:spPr>
                    <a:xfrm>
                      <a:off x="0" y="0"/>
                      <a:ext cx="6309360" cy="4197828"/>
                    </a:xfrm>
                    <a:prstGeom prst="rect"/>
                  </pic:spPr>
                </pic:pic>
              </a:graphicData>
            </a:graphic>
          </wp:inline>
        </w:drawing>
      </w:r>
    </w:p>
    <w:p>
      <w:pPr>
        <w:pStyle w:val="PEMTitle"/>
        <w:jc w:val="center"/>
      </w:pPr>
      <w:r>
        <w:t>Company Profile</w:t>
      </w:r>
    </w:p>
    <w:p>
      <w:pPr>
        <w:pStyle w:val="PEMSubtitle"/>
        <w:jc w:val="center"/>
      </w:pPr>
      <w:r>
        <w:t>Turbine Engine MRO • Field &amp; AOG • Engine Testing • Component Services • Engine Leasing &amp; Trading</w:t>
      </w:r>
    </w:p>
    <w:p>
      <w:pPr>
        <w:pStyle w:val="PEMSmall"/>
        <w:jc w:val="center"/>
      </w:pPr>
      <w:r>
        <w:t>Brooksville, Florida (Engine Services)  |  Davie, Florida (Component Services)</w:t>
      </w:r>
    </w:p>
    <w:p>
      <w:pPr>
        <w:pStyle w:val="PEMSmall"/>
        <w:jc w:val="center"/>
      </w:pPr>
      <w:r>
        <w:t>December 2025</w:t>
      </w:r>
    </w:p>
    <w:p>
      <w:r>
        <w:br w:type="page"/>
      </w:r>
    </w:p>
    <w:p>
      <w:pPr>
        <w:pStyle w:val="PEMH1"/>
      </w:pPr>
      <w:r>
        <w:t>Contents</w:t>
      </w:r>
    </w:p>
    <w:p>
      <w:pPr>
        <w:pStyle w:val="PEMBody"/>
      </w:pPr>
      <w:r>
        <w:t>1. Company Overview</w:t>
      </w:r>
    </w:p>
    <w:p>
      <w:pPr>
        <w:pStyle w:val="PEMBody"/>
      </w:pPr>
      <w:r>
        <w:t>2. Capabilities &amp; Services</w:t>
      </w:r>
    </w:p>
    <w:p>
      <w:pPr>
        <w:pStyle w:val="PEMBody"/>
      </w:pPr>
      <w:r>
        <w:t>3. Engine Capability Portfolio</w:t>
      </w:r>
    </w:p>
    <w:p>
      <w:pPr>
        <w:pStyle w:val="PEMBody"/>
      </w:pPr>
      <w:r>
        <w:t>4. Facilities &amp; Capacity</w:t>
      </w:r>
    </w:p>
    <w:p>
      <w:pPr>
        <w:pStyle w:val="PEMBody"/>
      </w:pPr>
      <w:r>
        <w:t>5. Quality, Compliance &amp; Certifications</w:t>
      </w:r>
    </w:p>
    <w:p>
      <w:pPr>
        <w:pStyle w:val="PEMBody"/>
      </w:pPr>
      <w:r>
        <w:t>6. Technical Excellence &amp; MRO Approach</w:t>
      </w:r>
    </w:p>
    <w:p>
      <w:pPr>
        <w:pStyle w:val="PEMBody"/>
      </w:pPr>
      <w:r>
        <w:t>7. Contact Information</w:t>
      </w:r>
    </w:p>
    <w:p>
      <w:pPr>
        <w:pStyle w:val="PEMBody"/>
      </w:pPr>
      <w:r>
        <w:t>8. Appendices (Certificates &amp; Presentation)</w:t>
      </w:r>
    </w:p>
    <w:p>
      <w:r>
        <w:br w:type="page"/>
      </w:r>
    </w:p>
    <w:p>
      <w:pPr>
        <w:pStyle w:val="PEMH1"/>
      </w:pPr>
      <w:r>
        <w:t>1. Company Overview</w:t>
      </w:r>
    </w:p>
    <w:p>
      <w:pPr>
        <w:pStyle w:val="PEMBody"/>
      </w:pPr>
      <w:r>
        <w:t>PEM-AIR provides integrated turbine engine maintenance, repair and overhaul (MRO), field and AOG support, engine testing services, and FAA/EASA-certified aircraft component repair. With operations dating back to 1980 and turbine engine services active since 2013, PEM-AIR combines decades of experience with modern infrastructure to deliver dependable, responsive, and cost-efficient solutions for operators, lessors, and asset owners.</w:t>
      </w:r>
    </w:p>
    <w:tbl>
      <w:tblPr>
        <w:tblStyle w:val="TableGrid"/>
        <w:tblW w:type="auto" w:w="0"/>
        <w:tblLook w:firstColumn="1" w:firstRow="1" w:lastColumn="0" w:lastRow="0" w:noHBand="0" w:noVBand="1" w:val="04A0"/>
      </w:tblPr>
      <w:tblGrid>
        <w:gridCol w:w="4874"/>
        <w:gridCol w:w="4874"/>
      </w:tblGrid>
      <w:tr>
        <w:tc>
          <w:tcPr>
            <w:tcW w:type="dxa" w:w="4874"/>
          </w:tcPr>
          <w:p>
            <w:r>
              <w:rPr>
                <w:b/>
                <w:color w:val="0B2E5C"/>
              </w:rPr>
              <w:t>Founded</w:t>
            </w:r>
          </w:p>
        </w:tc>
        <w:tc>
          <w:tcPr>
            <w:tcW w:type="dxa" w:w="4874"/>
          </w:tcPr>
          <w:p>
            <w:r>
              <w:t>1980 (PEM-AIR Component Services); turbine engine services active since 2013</w:t>
            </w:r>
          </w:p>
        </w:tc>
      </w:tr>
      <w:tr>
        <w:tc>
          <w:tcPr>
            <w:tcW w:type="dxa" w:w="4874"/>
          </w:tcPr>
          <w:p>
            <w:r>
              <w:rPr>
                <w:b/>
                <w:color w:val="0B2E5C"/>
              </w:rPr>
              <w:t>Locations</w:t>
            </w:r>
          </w:p>
        </w:tc>
        <w:tc>
          <w:tcPr>
            <w:tcW w:type="dxa" w:w="4874"/>
          </w:tcPr>
          <w:p>
            <w:r>
              <w:t>Brooksville, Florida (Engine Services) • Davie, Florida (Component Services)</w:t>
            </w:r>
          </w:p>
        </w:tc>
      </w:tr>
      <w:tr>
        <w:tc>
          <w:tcPr>
            <w:tcW w:type="dxa" w:w="4874"/>
          </w:tcPr>
          <w:p>
            <w:r>
              <w:rPr>
                <w:b/>
                <w:color w:val="0B2E5C"/>
              </w:rPr>
              <w:t>Certifications</w:t>
            </w:r>
          </w:p>
        </w:tc>
        <w:tc>
          <w:tcPr>
            <w:tcW w:type="dxa" w:w="4874"/>
          </w:tcPr>
          <w:p>
            <w:r>
              <w:t>FAA Part 145 Repair Stations • EASA Part 145 approvals • UK CAA approval • ISO 9001:2015 (Component Services)</w:t>
            </w:r>
          </w:p>
        </w:tc>
      </w:tr>
      <w:tr>
        <w:tc>
          <w:tcPr>
            <w:tcW w:type="dxa" w:w="4874"/>
          </w:tcPr>
          <w:p>
            <w:r>
              <w:rPr>
                <w:b/>
                <w:color w:val="0B2E5C"/>
              </w:rPr>
              <w:t>Core services</w:t>
            </w:r>
          </w:p>
        </w:tc>
        <w:tc>
          <w:tcPr>
            <w:tcW w:type="dxa" w:w="4874"/>
          </w:tcPr>
          <w:p>
            <w:r>
              <w:t>Engine MRO &amp; performance restoration • Field &amp; AOG • Engine testing • Component repair (Class 1/2/3) • Leasing &amp; trading</w:t>
            </w:r>
          </w:p>
        </w:tc>
      </w:tr>
      <w:tr>
        <w:tc>
          <w:tcPr>
            <w:tcW w:type="dxa" w:w="4874"/>
          </w:tcPr>
          <w:p>
            <w:r>
              <w:rPr>
                <w:b/>
                <w:color w:val="0B2E5C"/>
              </w:rPr>
              <w:t>Capacity highlights</w:t>
            </w:r>
          </w:p>
        </w:tc>
        <w:tc>
          <w:tcPr>
            <w:tcW w:type="dxa" w:w="4874"/>
          </w:tcPr>
          <w:p>
            <w:r>
              <w:t>80,000 sq. ft. new engine facility (opened 2024) • 20+ engine bays (expandable) • 25 component test stands • 1,100+ component capabilities</w:t>
            </w:r>
          </w:p>
        </w:tc>
      </w:tr>
      <w:tr>
        <w:tc>
          <w:tcPr>
            <w:tcW w:type="dxa" w:w="4874"/>
          </w:tcPr>
          <w:p>
            <w:r>
              <w:rPr>
                <w:b/>
                <w:color w:val="0B2E5C"/>
              </w:rPr>
              <w:t>Always-on support</w:t>
            </w:r>
          </w:p>
        </w:tc>
        <w:tc>
          <w:tcPr>
            <w:tcW w:type="dxa" w:w="4874"/>
          </w:tcPr>
          <w:p>
            <w:r>
              <w:t>24/7/365 AOG response (aog@pem-air.com) and coordinated field deployments worldwide</w:t>
            </w:r>
          </w:p>
        </w:tc>
      </w:tr>
    </w:tbl>
    <w:p>
      <w:pPr>
        <w:jc w:val="center"/>
      </w:pPr>
      <w:r>
        <w:drawing>
          <wp:inline xmlns:a="http://schemas.openxmlformats.org/drawingml/2006/main" xmlns:pic="http://schemas.openxmlformats.org/drawingml/2006/picture">
            <wp:extent cx="6126480" cy="3443082"/>
            <wp:docPr id="3" name="Picture 3"/>
            <wp:cNvGraphicFramePr>
              <a:graphicFrameLocks noChangeAspect="1"/>
            </wp:cNvGraphicFramePr>
            <a:graphic>
              <a:graphicData uri="http://schemas.openxmlformats.org/drawingml/2006/picture">
                <pic:pic>
                  <pic:nvPicPr>
                    <pic:cNvPr id="0" name="pates_newfacility.png"/>
                    <pic:cNvPicPr/>
                  </pic:nvPicPr>
                  <pic:blipFill>
                    <a:blip r:embed="rId12"/>
                    <a:stretch>
                      <a:fillRect/>
                    </a:stretch>
                  </pic:blipFill>
                  <pic:spPr>
                    <a:xfrm>
                      <a:off x="0" y="0"/>
                      <a:ext cx="6126480" cy="3443082"/>
                    </a:xfrm>
                    <a:prstGeom prst="rect"/>
                  </pic:spPr>
                </pic:pic>
              </a:graphicData>
            </a:graphic>
          </wp:inline>
        </w:drawing>
      </w:r>
    </w:p>
    <w:p>
      <w:pPr>
        <w:pStyle w:val="PEMSmall"/>
        <w:jc w:val="center"/>
      </w:pPr>
      <w:r>
        <w:t>PEM-AIR’s next-generation engine services facility (Brooksville, FL)</w:t>
      </w:r>
    </w:p>
    <w:p>
      <w:pPr>
        <w:pStyle w:val="PEMH2"/>
      </w:pPr>
      <w:r>
        <w:t>Our values</w:t>
      </w:r>
    </w:p>
    <w:tbl>
      <w:tblPr>
        <w:tblW w:type="auto" w:w="0"/>
        <w:tblLook w:firstColumn="1" w:firstRow="1" w:lastColumn="0" w:lastRow="0" w:noHBand="0" w:noVBand="1" w:val="04A0"/>
      </w:tblPr>
      <w:tblGrid>
        <w:gridCol w:w="2437"/>
        <w:gridCol w:w="2437"/>
        <w:gridCol w:w="2437"/>
        <w:gridCol w:w="2437"/>
      </w:tblGrid>
      <w:tr>
        <w:tc>
          <w:tcPr>
            <w:tcW w:type="dxa" w:w="2437"/>
          </w:tcPr>
          <w:p>
            <w:pPr>
              <w:jc w:val="center"/>
            </w:pPr>
            <w:r>
              <w:drawing>
                <wp:inline xmlns:a="http://schemas.openxmlformats.org/drawingml/2006/main" xmlns:pic="http://schemas.openxmlformats.org/drawingml/2006/picture">
                  <wp:extent cx="548640" cy="548640"/>
                  <wp:docPr id="4" name="Picture 4"/>
                  <wp:cNvGraphicFramePr>
                    <a:graphicFrameLocks noChangeAspect="1"/>
                  </wp:cNvGraphicFramePr>
                  <a:graphic>
                    <a:graphicData uri="http://schemas.openxmlformats.org/drawingml/2006/picture">
                      <pic:pic>
                        <pic:nvPicPr>
                          <pic:cNvPr id="0" name="icon_torch.png"/>
                          <pic:cNvPicPr/>
                        </pic:nvPicPr>
                        <pic:blipFill>
                          <a:blip r:embed="rId13"/>
                          <a:stretch>
                            <a:fillRect/>
                          </a:stretch>
                        </pic:blipFill>
                        <pic:spPr>
                          <a:xfrm>
                            <a:off x="0" y="0"/>
                            <a:ext cx="548640" cy="548640"/>
                          </a:xfrm>
                          <a:prstGeom prst="rect"/>
                        </pic:spPr>
                      </pic:pic>
                    </a:graphicData>
                  </a:graphic>
                </wp:inline>
              </w:drawing>
            </w:r>
          </w:p>
        </w:tc>
        <w:tc>
          <w:tcPr>
            <w:tcW w:type="dxa" w:w="2437"/>
          </w:tcPr>
          <w:p>
            <w:pPr>
              <w:jc w:val="center"/>
            </w:pPr>
            <w:r>
              <w:drawing>
                <wp:inline xmlns:a="http://schemas.openxmlformats.org/drawingml/2006/main" xmlns:pic="http://schemas.openxmlformats.org/drawingml/2006/picture">
                  <wp:extent cx="548640" cy="548640"/>
                  <wp:docPr id="5" name="Picture 5"/>
                  <wp:cNvGraphicFramePr>
                    <a:graphicFrameLocks noChangeAspect="1"/>
                  </wp:cNvGraphicFramePr>
                  <a:graphic>
                    <a:graphicData uri="http://schemas.openxmlformats.org/drawingml/2006/picture">
                      <pic:pic>
                        <pic:nvPicPr>
                          <pic:cNvPr id="0" name="icon_quality_check.png"/>
                          <pic:cNvPicPr/>
                        </pic:nvPicPr>
                        <pic:blipFill>
                          <a:blip r:embed="rId14"/>
                          <a:stretch>
                            <a:fillRect/>
                          </a:stretch>
                        </pic:blipFill>
                        <pic:spPr>
                          <a:xfrm>
                            <a:off x="0" y="0"/>
                            <a:ext cx="548640" cy="548640"/>
                          </a:xfrm>
                          <a:prstGeom prst="rect"/>
                        </pic:spPr>
                      </pic:pic>
                    </a:graphicData>
                  </a:graphic>
                </wp:inline>
              </w:drawing>
            </w:r>
          </w:p>
        </w:tc>
        <w:tc>
          <w:tcPr>
            <w:tcW w:type="dxa" w:w="2437"/>
          </w:tcPr>
          <w:p>
            <w:pPr>
              <w:jc w:val="center"/>
            </w:pPr>
            <w:r>
              <w:drawing>
                <wp:inline xmlns:a="http://schemas.openxmlformats.org/drawingml/2006/main" xmlns:pic="http://schemas.openxmlformats.org/drawingml/2006/picture">
                  <wp:extent cx="548640" cy="548640"/>
                  <wp:docPr id="6" name="Picture 6"/>
                  <wp:cNvGraphicFramePr>
                    <a:graphicFrameLocks noChangeAspect="1"/>
                  </wp:cNvGraphicFramePr>
                  <a:graphic>
                    <a:graphicData uri="http://schemas.openxmlformats.org/drawingml/2006/picture">
                      <pic:pic>
                        <pic:nvPicPr>
                          <pic:cNvPr id="0" name="icon_person_wrench.png"/>
                          <pic:cNvPicPr/>
                        </pic:nvPicPr>
                        <pic:blipFill>
                          <a:blip r:embed="rId15"/>
                          <a:stretch>
                            <a:fillRect/>
                          </a:stretch>
                        </pic:blipFill>
                        <pic:spPr>
                          <a:xfrm>
                            <a:off x="0" y="0"/>
                            <a:ext cx="548640" cy="548640"/>
                          </a:xfrm>
                          <a:prstGeom prst="rect"/>
                        </pic:spPr>
                      </pic:pic>
                    </a:graphicData>
                  </a:graphic>
                </wp:inline>
              </w:drawing>
            </w:r>
          </w:p>
        </w:tc>
        <w:tc>
          <w:tcPr>
            <w:tcW w:type="dxa" w:w="2437"/>
          </w:tcPr>
          <w:p>
            <w:pPr>
              <w:jc w:val="center"/>
            </w:pPr>
            <w:r>
              <w:drawing>
                <wp:inline xmlns:a="http://schemas.openxmlformats.org/drawingml/2006/main" xmlns:pic="http://schemas.openxmlformats.org/drawingml/2006/picture">
                  <wp:extent cx="548640" cy="548640"/>
                  <wp:docPr id="7" name="Picture 7"/>
                  <wp:cNvGraphicFramePr>
                    <a:graphicFrameLocks noChangeAspect="1"/>
                  </wp:cNvGraphicFramePr>
                  <a:graphic>
                    <a:graphicData uri="http://schemas.openxmlformats.org/drawingml/2006/picture">
                      <pic:pic>
                        <pic:nvPicPr>
                          <pic:cNvPr id="0" name="icon_hand_gears.png"/>
                          <pic:cNvPicPr/>
                        </pic:nvPicPr>
                        <pic:blipFill>
                          <a:blip r:embed="rId16"/>
                          <a:stretch>
                            <a:fillRect/>
                          </a:stretch>
                        </pic:blipFill>
                        <pic:spPr>
                          <a:xfrm>
                            <a:off x="0" y="0"/>
                            <a:ext cx="548640" cy="548640"/>
                          </a:xfrm>
                          <a:prstGeom prst="rect"/>
                        </pic:spPr>
                      </pic:pic>
                    </a:graphicData>
                  </a:graphic>
                </wp:inline>
              </w:drawing>
            </w:r>
          </w:p>
        </w:tc>
      </w:tr>
      <w:tr>
        <w:tc>
          <w:tcPr>
            <w:tcW w:type="dxa" w:w="2437"/>
          </w:tcPr>
          <w:p>
            <w:pPr>
              <w:pStyle w:val="PEMSmall"/>
              <w:jc w:val="center"/>
            </w:pPr>
            <w:r>
              <w:t>Experience</w:t>
              <w:br/>
              <w:t>Highly skilled leadership and technicians with deep turbine and component MRO backgrounds.</w:t>
            </w:r>
          </w:p>
        </w:tc>
        <w:tc>
          <w:tcPr>
            <w:tcW w:type="dxa" w:w="2437"/>
          </w:tcPr>
          <w:p>
            <w:pPr>
              <w:pStyle w:val="PEMSmall"/>
              <w:jc w:val="center"/>
            </w:pPr>
            <w:r>
              <w:t>Quality</w:t>
              <w:br/>
              <w:t>Disciplined processes, regulatory compliance, and a right‑first‑time culture focused on reliability.</w:t>
            </w:r>
          </w:p>
        </w:tc>
        <w:tc>
          <w:tcPr>
            <w:tcW w:type="dxa" w:w="2437"/>
          </w:tcPr>
          <w:p>
            <w:pPr>
              <w:pStyle w:val="PEMSmall"/>
              <w:jc w:val="center"/>
            </w:pPr>
            <w:r>
              <w:t>Technical Expertise</w:t>
              <w:br/>
              <w:t>Workscope flexibility—supporting legacy and current engines through repair, restoration, and overhaul.</w:t>
            </w:r>
          </w:p>
        </w:tc>
        <w:tc>
          <w:tcPr>
            <w:tcW w:type="dxa" w:w="2437"/>
          </w:tcPr>
          <w:p>
            <w:pPr>
              <w:pStyle w:val="PEMSmall"/>
              <w:jc w:val="center"/>
            </w:pPr>
            <w:r>
              <w:t>Customer Focus</w:t>
              <w:br/>
              <w:t>Responsive planning, transparent coordination, and rapid AOG support when it matters most.</w:t>
            </w:r>
          </w:p>
        </w:tc>
      </w:tr>
    </w:tbl>
    <w:p>
      <w:pPr>
        <w:pStyle w:val="PEMH2"/>
      </w:pPr>
      <w:r>
        <w:t>Experience &amp; Customer Partnership</w:t>
      </w:r>
    </w:p>
    <w:p>
      <w:pPr>
        <w:pStyle w:val="PEMBody"/>
      </w:pPr>
      <w:r>
        <w:t>PEM-AIR’s teams include FAA-licensed technicians and an integrated mix of experienced commercial and former military personnel. The company partners closely with operators and asset owners to tailor workscope, manage risk, and maintain transparency—especially during AOG events and time-critical returns to service.</w:t>
      </w:r>
    </w:p>
    <w:p>
      <w:pPr>
        <w:pStyle w:val="ListBullet"/>
      </w:pPr>
      <w:r>
        <w:t>Workscope flexibility: from minimal‑penetration maintenance through performance restoration and overhaul</w:t>
      </w:r>
    </w:p>
    <w:p>
      <w:pPr>
        <w:pStyle w:val="ListBullet"/>
      </w:pPr>
      <w:r>
        <w:t>Integrated engine + component capability to reduce subcontracting and accelerate turnaround</w:t>
      </w:r>
    </w:p>
    <w:p>
      <w:pPr>
        <w:pStyle w:val="ListBullet"/>
      </w:pPr>
      <w:r>
        <w:t>Responsive coordination and documentation discipline aligned to regulatory and lessor requirements</w:t>
      </w:r>
    </w:p>
    <w:p>
      <w:pPr>
        <w:pStyle w:val="ListBullet"/>
      </w:pPr>
      <w:r>
        <w:t>Practical engineering and troubleshooting support focused on safe, reliable outcomes</w:t>
      </w:r>
    </w:p>
    <w:p>
      <w:pPr>
        <w:jc w:val="center"/>
      </w:pPr>
      <w:r>
        <w:drawing>
          <wp:inline xmlns:a="http://schemas.openxmlformats.org/drawingml/2006/main" xmlns:pic="http://schemas.openxmlformats.org/drawingml/2006/picture">
            <wp:extent cx="6126480" cy="4083299"/>
            <wp:docPr id="8" name="Picture 8"/>
            <wp:cNvGraphicFramePr>
              <a:graphicFrameLocks noChangeAspect="1"/>
            </wp:cNvGraphicFramePr>
            <a:graphic>
              <a:graphicData uri="http://schemas.openxmlformats.org/drawingml/2006/picture">
                <pic:pic>
                  <pic:nvPicPr>
                    <pic:cNvPr id="0" name="marketing_00170.png"/>
                    <pic:cNvPicPr/>
                  </pic:nvPicPr>
                  <pic:blipFill>
                    <a:blip r:embed="rId17"/>
                    <a:stretch>
                      <a:fillRect/>
                    </a:stretch>
                  </pic:blipFill>
                  <pic:spPr>
                    <a:xfrm>
                      <a:off x="0" y="0"/>
                      <a:ext cx="6126480" cy="4083299"/>
                    </a:xfrm>
                    <a:prstGeom prst="rect"/>
                  </pic:spPr>
                </pic:pic>
              </a:graphicData>
            </a:graphic>
          </wp:inline>
        </w:drawing>
      </w:r>
    </w:p>
    <w:p>
      <w:pPr>
        <w:pStyle w:val="PEMSmall"/>
        <w:jc w:val="center"/>
      </w:pPr>
      <w:r>
        <w:t>Precision inspection and quality assurance in turbine engine maintenance</w:t>
      </w:r>
    </w:p>
    <w:p>
      <w:r>
        <w:br w:type="page"/>
      </w:r>
    </w:p>
    <w:p>
      <w:pPr>
        <w:pStyle w:val="PEMH1"/>
      </w:pPr>
      <w:r>
        <w:t>2. Capabilities &amp; Services</w:t>
      </w:r>
    </w:p>
    <w:p>
      <w:pPr>
        <w:pStyle w:val="PEMBody"/>
      </w:pPr>
      <w:r>
        <w:t>PEM-AIR supports customer needs across the full maintenance spectrum—from rapid field response and targeted performance restoration through shop visits and full overhaul. Integrated capabilities help reduce downtime, control cost, and maintain high standards of safety and compliance.</w:t>
      </w:r>
    </w:p>
    <w:p>
      <w:pPr>
        <w:pStyle w:val="PEMH2"/>
      </w:pPr>
      <w:r>
        <w:t>2.1 Turbine Engine MRO &amp; Performance Restoration</w:t>
      </w:r>
    </w:p>
    <w:p>
      <w:pPr>
        <w:pStyle w:val="PEMBody"/>
      </w:pPr>
      <w:r>
        <w:t>PEM-AIR supports all levels of work scope, including maintenance, repair, overhaul (MRO), and performance restoration for a broad range of turbofan engines.</w:t>
      </w:r>
    </w:p>
    <w:p>
      <w:pPr>
        <w:pStyle w:val="PEMBody"/>
      </w:pPr>
      <w:r>
        <w:t>Workscope strengths include:</w:t>
      </w:r>
    </w:p>
    <w:p>
      <w:pPr>
        <w:pStyle w:val="ListBullet"/>
      </w:pPr>
      <w:r>
        <w:t>Flexible work scopes: targeted repairs, performance restoration, and full shop visits</w:t>
      </w:r>
    </w:p>
    <w:p>
      <w:pPr>
        <w:pStyle w:val="ListBullet"/>
      </w:pPr>
      <w:r>
        <w:t>Module and LRU changes, troubleshooting, and corrective actions</w:t>
      </w:r>
    </w:p>
    <w:p>
      <w:pPr>
        <w:pStyle w:val="ListBullet"/>
      </w:pPr>
      <w:r>
        <w:t>Engine management support including compliance with Airworthiness Directives (AD) and Service Bulletins (SB)</w:t>
      </w:r>
    </w:p>
    <w:p>
      <w:pPr>
        <w:pStyle w:val="ListBullet"/>
      </w:pPr>
      <w:r>
        <w:t>Planning discipline aligned to operator schedules and lessor return conditions</w:t>
      </w:r>
    </w:p>
    <w:p>
      <w:pPr>
        <w:pStyle w:val="PEMBody"/>
      </w:pPr>
      <w:r>
        <w:t>Selected engine services include:</w:t>
      </w:r>
    </w:p>
    <w:p>
      <w:pPr>
        <w:pStyle w:val="ListBullet"/>
      </w:pPr>
      <w:r>
        <w:t>Airworthiness Directive (AD) and Service Bulletin (SB) compliance services</w:t>
      </w:r>
    </w:p>
    <w:p>
      <w:pPr>
        <w:pStyle w:val="ListBullet"/>
      </w:pPr>
      <w:r>
        <w:t>Engine removal and installation coordination</w:t>
      </w:r>
    </w:p>
    <w:p>
      <w:pPr>
        <w:pStyle w:val="ListBullet"/>
      </w:pPr>
      <w:r>
        <w:t>Engine test cell runs (as required) and on‑wing testing / MPA support</w:t>
      </w:r>
    </w:p>
    <w:p>
      <w:pPr>
        <w:pStyle w:val="ListBullet"/>
      </w:pPr>
      <w:r>
        <w:t>Borescope and NDT inspection; troubleshooting engine performance</w:t>
      </w:r>
    </w:p>
    <w:p>
      <w:pPr>
        <w:pStyle w:val="ListBullet"/>
      </w:pPr>
      <w:r>
        <w:t>Boro‑blending (gas path damage blend repairs, where applicable)</w:t>
      </w:r>
    </w:p>
    <w:p>
      <w:pPr>
        <w:pStyle w:val="ListBullet"/>
      </w:pPr>
      <w:r>
        <w:t>VSV/VBV static rigging</w:t>
      </w:r>
    </w:p>
    <w:p>
      <w:pPr>
        <w:pStyle w:val="ListBullet"/>
      </w:pPr>
      <w:r>
        <w:t>Module changes including LPT, BOOSTER, and HPT modules (as applicable)</w:t>
      </w:r>
    </w:p>
    <w:p>
      <w:pPr>
        <w:pStyle w:val="ListBullet"/>
      </w:pPr>
      <w:r>
        <w:t>Top case and bottom case changes (as applicable)</w:t>
      </w:r>
    </w:p>
    <w:p>
      <w:pPr>
        <w:pStyle w:val="ListBullet"/>
      </w:pPr>
      <w:r>
        <w:t>Engine preservations</w:t>
      </w:r>
    </w:p>
    <w:p>
      <w:pPr>
        <w:pStyle w:val="ListBullet"/>
      </w:pPr>
      <w:r>
        <w:t>QEC swaps and QEC conversions</w:t>
      </w:r>
    </w:p>
    <w:p>
      <w:pPr>
        <w:pStyle w:val="ListBullet"/>
      </w:pPr>
      <w:r>
        <w:t>Fan disk and blade changes (as applicable)</w:t>
      </w:r>
    </w:p>
    <w:p>
      <w:pPr>
        <w:pStyle w:val="ListBullet"/>
      </w:pPr>
      <w:r>
        <w:t>LRU replacement</w:t>
      </w:r>
    </w:p>
    <w:p>
      <w:pPr>
        <w:pStyle w:val="ListBullet"/>
      </w:pPr>
      <w:r>
        <w:t>Main gearbox, AGB, and TGB replacements (as applicable)</w:t>
      </w:r>
    </w:p>
    <w:p>
      <w:pPr>
        <w:pStyle w:val="ListBullet"/>
      </w:pPr>
      <w:r>
        <w:t>AOG support worldwide and FAA/EASA dual release capability</w:t>
      </w:r>
    </w:p>
    <w:p>
      <w:pPr>
        <w:jc w:val="center"/>
      </w:pPr>
      <w:r>
        <w:drawing>
          <wp:inline xmlns:a="http://schemas.openxmlformats.org/drawingml/2006/main" xmlns:pic="http://schemas.openxmlformats.org/drawingml/2006/picture">
            <wp:extent cx="5303520" cy="4163263"/>
            <wp:docPr id="9" name="Picture 9"/>
            <wp:cNvGraphicFramePr>
              <a:graphicFrameLocks noChangeAspect="1"/>
            </wp:cNvGraphicFramePr>
            <a:graphic>
              <a:graphicData uri="http://schemas.openxmlformats.org/drawingml/2006/picture">
                <pic:pic>
                  <pic:nvPicPr>
                    <pic:cNvPr id="0" name="cfm56_7b.png"/>
                    <pic:cNvPicPr/>
                  </pic:nvPicPr>
                  <pic:blipFill>
                    <a:blip r:embed="rId18"/>
                    <a:stretch>
                      <a:fillRect/>
                    </a:stretch>
                  </pic:blipFill>
                  <pic:spPr>
                    <a:xfrm>
                      <a:off x="0" y="0"/>
                      <a:ext cx="5303520" cy="4163263"/>
                    </a:xfrm>
                    <a:prstGeom prst="rect"/>
                  </pic:spPr>
                </pic:pic>
              </a:graphicData>
            </a:graphic>
          </wp:inline>
        </w:drawing>
      </w:r>
    </w:p>
    <w:p>
      <w:pPr>
        <w:pStyle w:val="PEMSmall"/>
        <w:jc w:val="center"/>
      </w:pPr>
      <w:r>
        <w:t>Supported engine families include legacy and current commercial turbofan platforms</w:t>
      </w:r>
    </w:p>
    <w:p>
      <w:pPr>
        <w:pStyle w:val="PEMH2"/>
      </w:pPr>
      <w:r>
        <w:t>2.2 Field &amp; AOG Services (24/7/365)</w:t>
      </w:r>
    </w:p>
    <w:p>
      <w:pPr>
        <w:pStyle w:val="PEMBody"/>
      </w:pPr>
      <w:r>
        <w:t>AOG events demand fast, safe, and effective action. PEM-AIR provides on‑wing support and field maintenance to mitigate disruptions and return aircraft to service quickly.</w:t>
      </w:r>
    </w:p>
    <w:p>
      <w:pPr>
        <w:pStyle w:val="ListBullet"/>
      </w:pPr>
      <w:r>
        <w:t>Worldwide AOG support available 24/7/365</w:t>
      </w:r>
    </w:p>
    <w:p>
      <w:pPr>
        <w:pStyle w:val="ListBullet"/>
      </w:pPr>
      <w:r>
        <w:t>On-wing repair solutions and field troubleshooting</w:t>
      </w:r>
    </w:p>
    <w:p>
      <w:pPr>
        <w:pStyle w:val="ListBullet"/>
      </w:pPr>
      <w:r>
        <w:t>Hospital visits and performance restoration work scopes</w:t>
      </w:r>
    </w:p>
    <w:p>
      <w:pPr>
        <w:pStyle w:val="ListBullet"/>
      </w:pPr>
      <w:r>
        <w:t>Coordination support for engine removal/installation and logistics</w:t>
      </w:r>
    </w:p>
    <w:p>
      <w:pPr>
        <w:pStyle w:val="PEMSmall"/>
      </w:pPr>
      <w:r>
        <w:t>AOG contact: aog@pem-air.com</w:t>
      </w:r>
    </w:p>
    <w:p>
      <w:pPr>
        <w:pStyle w:val="PEMH2"/>
      </w:pPr>
      <w:r>
        <w:t>2.3 Engine Testing Support</w:t>
      </w:r>
    </w:p>
    <w:p>
      <w:pPr>
        <w:pStyle w:val="PEMBody"/>
      </w:pPr>
      <w:r>
        <w:t>PEM-AIR performs on‑wing testing and Maximum Power Assurance (MPA) runs for most engine types. Services can be performed in the field or at the Brooksville (BKV) facility when aircraft are flown in.</w:t>
      </w:r>
    </w:p>
    <w:p>
      <w:pPr>
        <w:pStyle w:val="ListBullet"/>
      </w:pPr>
      <w:r>
        <w:t>MPA checks to verify thrust capability</w:t>
      </w:r>
    </w:p>
    <w:p>
      <w:pPr>
        <w:pStyle w:val="ListBullet"/>
      </w:pPr>
      <w:r>
        <w:t>Balance and vibration measurement and corrective balancing support</w:t>
      </w:r>
    </w:p>
    <w:p>
      <w:pPr>
        <w:pStyle w:val="ListBullet"/>
      </w:pPr>
      <w:r>
        <w:t>Oil and fuel system tests and leakage checks</w:t>
      </w:r>
    </w:p>
    <w:p>
      <w:pPr>
        <w:pStyle w:val="ListBullet"/>
      </w:pPr>
      <w:r>
        <w:t>Off‑wing test procedures coordinated through established off‑site test cell partner network when required</w:t>
      </w:r>
    </w:p>
    <w:p>
      <w:pPr>
        <w:pStyle w:val="PEMSmall"/>
      </w:pPr>
      <w:r>
        <w:t>Dedicated GE‑powered 767 aircraft supports real‑time engine testing as shop work completes.</w:t>
      </w:r>
    </w:p>
    <w:p>
      <w:pPr>
        <w:jc w:val="center"/>
      </w:pPr>
      <w:r>
        <w:drawing>
          <wp:inline xmlns:a="http://schemas.openxmlformats.org/drawingml/2006/main" xmlns:pic="http://schemas.openxmlformats.org/drawingml/2006/picture">
            <wp:extent cx="6126480" cy="4076151"/>
            <wp:docPr id="10" name="Picture 10"/>
            <wp:cNvGraphicFramePr>
              <a:graphicFrameLocks noChangeAspect="1"/>
            </wp:cNvGraphicFramePr>
            <a:graphic>
              <a:graphicData uri="http://schemas.openxmlformats.org/drawingml/2006/picture">
                <pic:pic>
                  <pic:nvPicPr>
                    <pic:cNvPr id="0" name="open_engine_1.jpg"/>
                    <pic:cNvPicPr/>
                  </pic:nvPicPr>
                  <pic:blipFill>
                    <a:blip r:embed="rId19"/>
                    <a:stretch>
                      <a:fillRect/>
                    </a:stretch>
                  </pic:blipFill>
                  <pic:spPr>
                    <a:xfrm>
                      <a:off x="0" y="0"/>
                      <a:ext cx="6126480" cy="4076151"/>
                    </a:xfrm>
                    <a:prstGeom prst="rect"/>
                  </pic:spPr>
                </pic:pic>
              </a:graphicData>
            </a:graphic>
          </wp:inline>
        </w:drawing>
      </w:r>
    </w:p>
    <w:p>
      <w:pPr>
        <w:pStyle w:val="PEMSmall"/>
        <w:jc w:val="center"/>
      </w:pPr>
      <w:r>
        <w:t>On-wing testing and post‑maintenance verification</w:t>
      </w:r>
    </w:p>
    <w:p>
      <w:pPr>
        <w:pStyle w:val="PEMH2"/>
      </w:pPr>
      <w:r>
        <w:t>2.4 Aircraft Component &amp; Accessory Services</w:t>
      </w:r>
    </w:p>
    <w:p>
      <w:pPr>
        <w:pStyle w:val="PEMBody"/>
      </w:pPr>
      <w:r>
        <w:t>From its Davie, Florida facility, PEM-AIR provides FAA and EASA-certified component and accessory maintenance under an FAA Part 145 Unlimited – Class 1, 2, and 3 rating. The component shop offers over 1,100 capability listings and specializes in fuel, electric, hydraulic, pneumatic, oil, and electromechanical systems.</w:t>
      </w:r>
    </w:p>
    <w:p>
      <w:pPr>
        <w:pStyle w:val="ListBullet"/>
      </w:pPr>
      <w:r>
        <w:t>25 in-house test stands supporting component and accessory repair and overhaul</w:t>
      </w:r>
    </w:p>
    <w:p>
      <w:pPr>
        <w:pStyle w:val="ListBullet"/>
      </w:pPr>
      <w:r>
        <w:t>Custom packaging and 3D‑printed protective covers to protect hardware in transit</w:t>
      </w:r>
    </w:p>
    <w:p>
      <w:pPr>
        <w:pStyle w:val="ListBullet"/>
      </w:pPr>
      <w:r>
        <w:t>Integrated component repair capability supporting engine programs and teardown/asset services</w:t>
      </w:r>
    </w:p>
    <w:tbl>
      <w:tblPr>
        <w:tblW w:type="auto" w:w="0"/>
        <w:tblLook w:firstColumn="1" w:firstRow="1" w:lastColumn="0" w:lastRow="0" w:noHBand="0" w:noVBand="1" w:val="04A0"/>
      </w:tblPr>
      <w:tblGrid>
        <w:gridCol w:w="4874"/>
        <w:gridCol w:w="4874"/>
      </w:tblGrid>
      <w:tr>
        <w:tc>
          <w:tcPr>
            <w:tcW w:type="dxa" w:w="4874"/>
          </w:tcPr>
          <w:p>
            <w:pPr>
              <w:jc w:val="center"/>
            </w:pPr>
            <w:r>
              <w:drawing>
                <wp:inline xmlns:a="http://schemas.openxmlformats.org/drawingml/2006/main" xmlns:pic="http://schemas.openxmlformats.org/drawingml/2006/picture">
                  <wp:extent cx="2926080" cy="1950720"/>
                  <wp:docPr id="11" name="Picture 11"/>
                  <wp:cNvGraphicFramePr>
                    <a:graphicFrameLocks noChangeAspect="1"/>
                  </wp:cNvGraphicFramePr>
                  <a:graphic>
                    <a:graphicData uri="http://schemas.openxmlformats.org/drawingml/2006/picture">
                      <pic:pic>
                        <pic:nvPicPr>
                          <pic:cNvPr id="0" name="img_5964.png"/>
                          <pic:cNvPicPr/>
                        </pic:nvPicPr>
                        <pic:blipFill>
                          <a:blip r:embed="rId20"/>
                          <a:stretch>
                            <a:fillRect/>
                          </a:stretch>
                        </pic:blipFill>
                        <pic:spPr>
                          <a:xfrm>
                            <a:off x="0" y="0"/>
                            <a:ext cx="2926080" cy="1950720"/>
                          </a:xfrm>
                          <a:prstGeom prst="rect"/>
                        </pic:spPr>
                      </pic:pic>
                    </a:graphicData>
                  </a:graphic>
                </wp:inline>
              </w:drawing>
            </w:r>
          </w:p>
        </w:tc>
        <w:tc>
          <w:tcPr>
            <w:tcW w:type="dxa" w:w="4874"/>
          </w:tcPr>
          <w:p>
            <w:pPr>
              <w:jc w:val="center"/>
            </w:pPr>
            <w:r>
              <w:drawing>
                <wp:inline xmlns:a="http://schemas.openxmlformats.org/drawingml/2006/main" xmlns:pic="http://schemas.openxmlformats.org/drawingml/2006/picture">
                  <wp:extent cx="2926080" cy="1950720"/>
                  <wp:docPr id="12" name="Picture 12"/>
                  <wp:cNvGraphicFramePr>
                    <a:graphicFrameLocks noChangeAspect="1"/>
                  </wp:cNvGraphicFramePr>
                  <a:graphic>
                    <a:graphicData uri="http://schemas.openxmlformats.org/drawingml/2006/picture">
                      <pic:pic>
                        <pic:nvPicPr>
                          <pic:cNvPr id="0" name="img_5978.png"/>
                          <pic:cNvPicPr/>
                        </pic:nvPicPr>
                        <pic:blipFill>
                          <a:blip r:embed="rId21"/>
                          <a:stretch>
                            <a:fillRect/>
                          </a:stretch>
                        </pic:blipFill>
                        <pic:spPr>
                          <a:xfrm>
                            <a:off x="0" y="0"/>
                            <a:ext cx="2926080" cy="1950720"/>
                          </a:xfrm>
                          <a:prstGeom prst="rect"/>
                        </pic:spPr>
                      </pic:pic>
                    </a:graphicData>
                  </a:graphic>
                </wp:inline>
              </w:drawing>
            </w:r>
          </w:p>
        </w:tc>
      </w:tr>
    </w:tbl>
    <w:p>
      <w:r>
        <w:br w:type="page"/>
      </w:r>
    </w:p>
    <w:p>
      <w:pPr>
        <w:pStyle w:val="PEMH2"/>
      </w:pPr>
      <w:r>
        <w:t>2.5 Engine Leasing &amp; Trading</w:t>
      </w:r>
    </w:p>
    <w:p>
      <w:pPr>
        <w:pStyle w:val="PEMBody"/>
      </w:pPr>
      <w:r>
        <w:t>To support fleet continuity and recovery planning, PEM-AIR provides engine leasing and trading solutions structured for flexibility and cost efficiency.</w:t>
      </w:r>
    </w:p>
    <w:p>
      <w:pPr>
        <w:pStyle w:val="ListBullet"/>
      </w:pPr>
      <w:r>
        <w:t>Wet/dry leases and short‑term leases</w:t>
      </w:r>
    </w:p>
    <w:p>
      <w:pPr>
        <w:pStyle w:val="ListBullet"/>
      </w:pPr>
      <w:r>
        <w:t>Green‑time leases, pooling, and exchange programs</w:t>
      </w:r>
    </w:p>
    <w:p>
      <w:pPr>
        <w:pStyle w:val="ListBullet"/>
      </w:pPr>
      <w:r>
        <w:t>Sale/leaseback, remarketing, and asset management support</w:t>
      </w:r>
    </w:p>
    <w:p>
      <w:pPr>
        <w:pStyle w:val="ListBullet"/>
      </w:pPr>
      <w:r>
        <w:t>Operating and financial leases, sales, and forward purchases</w:t>
      </w:r>
    </w:p>
    <w:p>
      <w:pPr>
        <w:pStyle w:val="PEMH2"/>
      </w:pPr>
      <w:r>
        <w:t>2.6 Aircraft Storage, Teardown, Disassembly &amp; RTS</w:t>
      </w:r>
    </w:p>
    <w:p>
      <w:pPr>
        <w:pStyle w:val="PEMBody"/>
      </w:pPr>
      <w:r>
        <w:t>In addition to MRO shop and on‑wing maintenance, PEM-AIR offers aircraft parking, storage, return‑to‑service (RTS) maintenance support, and aircraft disassembly/part‑out services.</w:t>
      </w:r>
    </w:p>
    <w:p>
      <w:pPr>
        <w:pStyle w:val="ListBullet"/>
      </w:pPr>
      <w:r>
        <w:t>End‑to‑end support for teardown and recycling projects with in‑house component repair capability</w:t>
      </w:r>
    </w:p>
    <w:p>
      <w:pPr>
        <w:pStyle w:val="ListBullet"/>
      </w:pPr>
      <w:r>
        <w:t>Care‑of‑maintenance programs supported under FAA Part 145 certification to support storage decisions and redelivery planning</w:t>
      </w:r>
    </w:p>
    <w:p>
      <w:pPr>
        <w:pStyle w:val="ListBullet"/>
      </w:pPr>
      <w:r>
        <w:t>Support for both narrow‑body and wide‑body aircraft at competitive rates</w:t>
      </w:r>
    </w:p>
    <w:tbl>
      <w:tblPr>
        <w:tblW w:type="auto" w:w="0"/>
        <w:tblLook w:firstColumn="1" w:firstRow="1" w:lastColumn="0" w:lastRow="0" w:noHBand="0" w:noVBand="1" w:val="04A0"/>
      </w:tblPr>
      <w:tblGrid>
        <w:gridCol w:w="4874"/>
        <w:gridCol w:w="4874"/>
      </w:tblGrid>
      <w:tr>
        <w:tc>
          <w:tcPr>
            <w:tcW w:type="dxa" w:w="4874"/>
          </w:tcPr>
          <w:p>
            <w:pPr>
              <w:jc w:val="center"/>
            </w:pPr>
            <w:r>
              <w:drawing>
                <wp:inline xmlns:a="http://schemas.openxmlformats.org/drawingml/2006/main" xmlns:pic="http://schemas.openxmlformats.org/drawingml/2006/picture">
                  <wp:extent cx="2926080" cy="1462030"/>
                  <wp:docPr id="13" name="Picture 13"/>
                  <wp:cNvGraphicFramePr>
                    <a:graphicFrameLocks noChangeAspect="1"/>
                  </wp:cNvGraphicFramePr>
                  <a:graphic>
                    <a:graphicData uri="http://schemas.openxmlformats.org/drawingml/2006/picture">
                      <pic:pic>
                        <pic:nvPicPr>
                          <pic:cNvPr id="0" name="aircraft_parking.jpg"/>
                          <pic:cNvPicPr/>
                        </pic:nvPicPr>
                        <pic:blipFill>
                          <a:blip r:embed="rId22"/>
                          <a:stretch>
                            <a:fillRect/>
                          </a:stretch>
                        </pic:blipFill>
                        <pic:spPr>
                          <a:xfrm>
                            <a:off x="0" y="0"/>
                            <a:ext cx="2926080" cy="1462030"/>
                          </a:xfrm>
                          <a:prstGeom prst="rect"/>
                        </pic:spPr>
                      </pic:pic>
                    </a:graphicData>
                  </a:graphic>
                </wp:inline>
              </w:drawing>
            </w:r>
          </w:p>
        </w:tc>
        <w:tc>
          <w:tcPr>
            <w:tcW w:type="dxa" w:w="4874"/>
          </w:tcPr>
          <w:p>
            <w:pPr>
              <w:jc w:val="center"/>
            </w:pPr>
            <w:r>
              <w:drawing>
                <wp:inline xmlns:a="http://schemas.openxmlformats.org/drawingml/2006/main" xmlns:pic="http://schemas.openxmlformats.org/drawingml/2006/picture">
                  <wp:extent cx="2926080" cy="1950720"/>
                  <wp:docPr id="14" name="Picture 14"/>
                  <wp:cNvGraphicFramePr>
                    <a:graphicFrameLocks noChangeAspect="1"/>
                  </wp:cNvGraphicFramePr>
                  <a:graphic>
                    <a:graphicData uri="http://schemas.openxmlformats.org/drawingml/2006/picture">
                      <pic:pic>
                        <pic:nvPicPr>
                          <pic:cNvPr id="0" name="aircraft_storage.png"/>
                          <pic:cNvPicPr/>
                        </pic:nvPicPr>
                        <pic:blipFill>
                          <a:blip r:embed="rId23"/>
                          <a:stretch>
                            <a:fillRect/>
                          </a:stretch>
                        </pic:blipFill>
                        <pic:spPr>
                          <a:xfrm>
                            <a:off x="0" y="0"/>
                            <a:ext cx="2926080" cy="1950720"/>
                          </a:xfrm>
                          <a:prstGeom prst="rect"/>
                        </pic:spPr>
                      </pic:pic>
                    </a:graphicData>
                  </a:graphic>
                </wp:inline>
              </w:drawing>
            </w:r>
          </w:p>
        </w:tc>
      </w:tr>
    </w:tbl>
    <w:p>
      <w:pPr>
        <w:pStyle w:val="PEMH2"/>
      </w:pPr>
      <w:r>
        <w:t>2.7 Lessor Partnerships &amp; Asset Support</w:t>
      </w:r>
    </w:p>
    <w:p>
      <w:pPr>
        <w:pStyle w:val="PEMBody"/>
      </w:pPr>
      <w:r>
        <w:t>PEM-AIR supports lessors and asset owners with flexible maintenance strategies, disciplined documentation practices, and workscope planning designed to protect asset value while meeting operational needs.</w:t>
      </w:r>
    </w:p>
    <w:p>
      <w:pPr>
        <w:pStyle w:val="PEMH2"/>
      </w:pPr>
      <w:r>
        <w:t>2.8 Military &amp; Public Use Aircraft Projects</w:t>
      </w:r>
    </w:p>
    <w:p>
      <w:pPr>
        <w:pStyle w:val="PEMBody"/>
      </w:pPr>
      <w:r>
        <w:t>In addition to commercial fleets, PEM-AIR supports Military Commercial Derivative Aircraft (MCDA) platforms and other public-use projects through engine and component repair support and related services.</w:t>
      </w:r>
    </w:p>
    <w:p>
      <w:r>
        <w:br w:type="page"/>
      </w:r>
    </w:p>
    <w:p>
      <w:pPr>
        <w:pStyle w:val="PEMH1"/>
      </w:pPr>
      <w:r>
        <w:t>3. Engine Capability Portfolio</w:t>
      </w:r>
    </w:p>
    <w:p>
      <w:pPr>
        <w:pStyle w:val="PEMBody"/>
      </w:pPr>
      <w:r>
        <w:t>PEM-AIR supports legacy and current turbofan engine families and variants across major OEM lineages. For the latest scope, approvals, and release-to-service details applicable to your engine and workscope, coordinate with PEM-AIR technical sales and quality teams.</w:t>
      </w:r>
    </w:p>
    <w:tbl>
      <w:tblPr>
        <w:tblStyle w:val="TableGrid"/>
        <w:tblW w:type="auto" w:w="0"/>
        <w:tblLook w:firstColumn="1" w:firstRow="1" w:lastColumn="0" w:lastRow="0" w:noHBand="0" w:noVBand="1" w:val="04A0"/>
      </w:tblPr>
      <w:tblGrid>
        <w:gridCol w:w="4874"/>
        <w:gridCol w:w="4874"/>
      </w:tblGrid>
      <w:tr>
        <w:tc>
          <w:tcPr>
            <w:tcW w:type="dxa" w:w="4874"/>
          </w:tcPr>
          <w:p>
            <w:r>
              <w:rPr>
                <w:b/>
                <w:color w:val="0B2E5C"/>
              </w:rPr>
              <w:t>Engine Manufacturer</w:t>
            </w:r>
          </w:p>
        </w:tc>
        <w:tc>
          <w:tcPr>
            <w:tcW w:type="dxa" w:w="4874"/>
          </w:tcPr>
          <w:p>
            <w:r>
              <w:rPr>
                <w:b/>
                <w:color w:val="0B2E5C"/>
              </w:rPr>
              <w:t>Models / Variants</w:t>
            </w:r>
          </w:p>
        </w:tc>
      </w:tr>
      <w:tr>
        <w:tc>
          <w:tcPr>
            <w:tcW w:type="dxa" w:w="4874"/>
          </w:tcPr>
          <w:p>
            <w:r>
              <w:t>CFM International</w:t>
            </w:r>
          </w:p>
        </w:tc>
        <w:tc>
          <w:tcPr>
            <w:tcW w:type="dxa" w:w="4874"/>
          </w:tcPr>
          <w:p>
            <w:r>
              <w:t>CFM56-2 / -3 / -5 / -7</w:t>
            </w:r>
          </w:p>
        </w:tc>
      </w:tr>
      <w:tr>
        <w:tc>
          <w:tcPr>
            <w:tcW w:type="dxa" w:w="4874"/>
          </w:tcPr>
          <w:p>
            <w:r>
              <w:t>Engine Alliance</w:t>
            </w:r>
          </w:p>
        </w:tc>
        <w:tc>
          <w:tcPr>
            <w:tcW w:type="dxa" w:w="4874"/>
          </w:tcPr>
          <w:p>
            <w:r>
              <w:t>GP7200 (GP7268 / GP7270 / GP7277)</w:t>
            </w:r>
          </w:p>
        </w:tc>
      </w:tr>
      <w:tr>
        <w:tc>
          <w:tcPr>
            <w:tcW w:type="dxa" w:w="4874"/>
          </w:tcPr>
          <w:p>
            <w:r>
              <w:t>GE Aerospace</w:t>
            </w:r>
          </w:p>
        </w:tc>
        <w:tc>
          <w:tcPr>
            <w:tcW w:type="dxa" w:w="4874"/>
          </w:tcPr>
          <w:p>
            <w:r>
              <w:t>CF34-3 / -8 / -10; CF6-50 / -80; GE90</w:t>
            </w:r>
          </w:p>
        </w:tc>
      </w:tr>
      <w:tr>
        <w:tc>
          <w:tcPr>
            <w:tcW w:type="dxa" w:w="4874"/>
          </w:tcPr>
          <w:p>
            <w:r>
              <w:t>International Aero Engines (IAE)</w:t>
            </w:r>
          </w:p>
        </w:tc>
        <w:tc>
          <w:tcPr>
            <w:tcW w:type="dxa" w:w="4874"/>
          </w:tcPr>
          <w:p>
            <w:r>
              <w:t>V2500</w:t>
            </w:r>
          </w:p>
        </w:tc>
      </w:tr>
      <w:tr>
        <w:tc>
          <w:tcPr>
            <w:tcW w:type="dxa" w:w="4874"/>
          </w:tcPr>
          <w:p>
            <w:r>
              <w:t>Pratt &amp; Whitney</w:t>
            </w:r>
          </w:p>
        </w:tc>
        <w:tc>
          <w:tcPr>
            <w:tcW w:type="dxa" w:w="4874"/>
          </w:tcPr>
          <w:p>
            <w:r>
              <w:t>JT3D / TF33; JT9D; PW2000/F117; PW4000; PW1100G-JM (PW1100)</w:t>
            </w:r>
          </w:p>
        </w:tc>
      </w:tr>
      <w:tr>
        <w:tc>
          <w:tcPr>
            <w:tcW w:type="dxa" w:w="4874"/>
          </w:tcPr>
          <w:p>
            <w:r>
              <w:t>Rolls-Royce</w:t>
            </w:r>
          </w:p>
        </w:tc>
        <w:tc>
          <w:tcPr>
            <w:tcW w:type="dxa" w:w="4874"/>
          </w:tcPr>
          <w:p>
            <w:r>
              <w:t>RB211; Trent 700 / 800 / 900 / 1000</w:t>
            </w:r>
          </w:p>
        </w:tc>
      </w:tr>
    </w:tbl>
    <w:p>
      <w:pPr>
        <w:pStyle w:val="PEMSmall"/>
      </w:pPr>
      <w:r>
        <w:t>All work is performed in accordance with applicable regulatory approvals and customer requirements.</w:t>
      </w:r>
    </w:p>
    <w:p>
      <w:r>
        <w:br w:type="page"/>
      </w:r>
    </w:p>
    <w:p>
      <w:pPr>
        <w:pStyle w:val="PEMH1"/>
      </w:pPr>
      <w:r>
        <w:t>4. Facilities &amp; Capacity</w:t>
      </w:r>
    </w:p>
    <w:p>
      <w:pPr>
        <w:pStyle w:val="PEMBody"/>
      </w:pPr>
      <w:r>
        <w:t>PEM-AIR has expanded infrastructure and materials readiness to support higher throughput, larger engine platforms, and responsive AOG field support.</w:t>
      </w:r>
    </w:p>
    <w:p>
      <w:pPr>
        <w:pStyle w:val="PEMH2"/>
      </w:pPr>
      <w:r>
        <w:t>4.1 Brooksville, Florida – Turbine Engine Services</w:t>
      </w:r>
    </w:p>
    <w:p>
      <w:pPr>
        <w:pStyle w:val="PEMBody"/>
      </w:pPr>
      <w:r>
        <w:t>The Brooksville facility provides full-service engine maintenance, repair, overhaul, and performance restoration. In 2024, PEM-AIR opened a new 80,000 sq. ft. state‑of‑the‑art facility designed to support a broad range of engine platforms—including larger GE90 and Trent 800 turbofans.</w:t>
      </w:r>
    </w:p>
    <w:p>
      <w:pPr>
        <w:pStyle w:val="ListBullet"/>
      </w:pPr>
      <w:r>
        <w:t>80,000 sq. ft. new facility (opened 2024)</w:t>
      </w:r>
    </w:p>
    <w:p>
      <w:pPr>
        <w:pStyle w:val="ListBullet"/>
      </w:pPr>
      <w:r>
        <w:t>Approximately 8× increase in capacity compared to prior footprint</w:t>
      </w:r>
    </w:p>
    <w:p>
      <w:pPr>
        <w:pStyle w:val="ListBullet"/>
      </w:pPr>
      <w:r>
        <w:t>20+ engine bays with potential expansion up to 35 bays depending on configuration</w:t>
      </w:r>
    </w:p>
    <w:p>
      <w:pPr>
        <w:pStyle w:val="ListBullet"/>
      </w:pPr>
      <w:r>
        <w:t>Large inventory of engine materials and expendables to support quoted lead times</w:t>
      </w:r>
    </w:p>
    <w:p>
      <w:pPr>
        <w:jc w:val="center"/>
      </w:pPr>
      <w:r>
        <w:drawing>
          <wp:inline xmlns:a="http://schemas.openxmlformats.org/drawingml/2006/main" xmlns:pic="http://schemas.openxmlformats.org/drawingml/2006/picture">
            <wp:extent cx="6126480" cy="3443082"/>
            <wp:docPr id="15" name="Picture 15"/>
            <wp:cNvGraphicFramePr>
              <a:graphicFrameLocks noChangeAspect="1"/>
            </wp:cNvGraphicFramePr>
            <a:graphic>
              <a:graphicData uri="http://schemas.openxmlformats.org/drawingml/2006/picture">
                <pic:pic>
                  <pic:nvPicPr>
                    <pic:cNvPr id="0" name="pates_newfacility.png"/>
                    <pic:cNvPicPr/>
                  </pic:nvPicPr>
                  <pic:blipFill>
                    <a:blip r:embed="rId12"/>
                    <a:stretch>
                      <a:fillRect/>
                    </a:stretch>
                  </pic:blipFill>
                  <pic:spPr>
                    <a:xfrm>
                      <a:off x="0" y="0"/>
                      <a:ext cx="6126480" cy="3443082"/>
                    </a:xfrm>
                    <a:prstGeom prst="rect"/>
                  </pic:spPr>
                </pic:pic>
              </a:graphicData>
            </a:graphic>
          </wp:inline>
        </w:drawing>
      </w:r>
    </w:p>
    <w:p>
      <w:pPr>
        <w:pStyle w:val="PEMSmall"/>
        <w:jc w:val="center"/>
      </w:pPr>
      <w:r>
        <w:t>Brooksville engine services campus</w:t>
      </w:r>
    </w:p>
    <w:p>
      <w:pPr>
        <w:pStyle w:val="PEMH2"/>
      </w:pPr>
      <w:r>
        <w:t>4.2 Additional Brooksville Facilities</w:t>
      </w:r>
    </w:p>
    <w:p>
      <w:pPr>
        <w:pStyle w:val="PEMBody"/>
      </w:pPr>
      <w:r>
        <w:t>In addition to the new facility, PEM-AIR maintains legacy facilities in close proximity dedicated to work scopes requiring special consideration, including certain military or government operated fleet programs, as well as dedicated storage and warehousing spaces.</w:t>
      </w:r>
    </w:p>
    <w:p>
      <w:pPr>
        <w:pStyle w:val="PEMH2"/>
      </w:pPr>
      <w:r>
        <w:t>4.3 Davie, Florida – Component Services</w:t>
      </w:r>
    </w:p>
    <w:p>
      <w:pPr>
        <w:pStyle w:val="PEMBody"/>
      </w:pPr>
      <w:r>
        <w:t>The Davie facility is home to PEM-AIR’s component services operations—featuring 25 test stands and extensive component repair capability supporting commercial and government-operated platforms.</w:t>
      </w:r>
    </w:p>
    <w:p>
      <w:pPr>
        <w:jc w:val="center"/>
      </w:pPr>
      <w:r>
        <w:drawing>
          <wp:inline xmlns:a="http://schemas.openxmlformats.org/drawingml/2006/main" xmlns:pic="http://schemas.openxmlformats.org/drawingml/2006/picture">
            <wp:extent cx="6126480" cy="4084320"/>
            <wp:docPr id="16" name="Picture 16"/>
            <wp:cNvGraphicFramePr>
              <a:graphicFrameLocks noChangeAspect="1"/>
            </wp:cNvGraphicFramePr>
            <a:graphic>
              <a:graphicData uri="http://schemas.openxmlformats.org/drawingml/2006/picture">
                <pic:pic>
                  <pic:nvPicPr>
                    <pic:cNvPr id="0" name="img_5970.png"/>
                    <pic:cNvPicPr/>
                  </pic:nvPicPr>
                  <pic:blipFill>
                    <a:blip r:embed="rId24"/>
                    <a:stretch>
                      <a:fillRect/>
                    </a:stretch>
                  </pic:blipFill>
                  <pic:spPr>
                    <a:xfrm>
                      <a:off x="0" y="0"/>
                      <a:ext cx="6126480" cy="4084320"/>
                    </a:xfrm>
                    <a:prstGeom prst="rect"/>
                  </pic:spPr>
                </pic:pic>
              </a:graphicData>
            </a:graphic>
          </wp:inline>
        </w:drawing>
      </w:r>
    </w:p>
    <w:p>
      <w:pPr>
        <w:pStyle w:val="PEMSmall"/>
        <w:jc w:val="center"/>
      </w:pPr>
      <w:r>
        <w:t>Davie component services facility</w:t>
      </w:r>
    </w:p>
    <w:p>
      <w:r>
        <w:br w:type="page"/>
      </w:r>
    </w:p>
    <w:p>
      <w:pPr>
        <w:pStyle w:val="PEMH1"/>
      </w:pPr>
      <w:r>
        <w:t>5. Quality, Compliance &amp; Certifications</w:t>
      </w:r>
    </w:p>
    <w:p>
      <w:pPr>
        <w:pStyle w:val="PEMBody"/>
      </w:pPr>
      <w:r>
        <w:t>Quality assurance is central to PEM-AIR operations. The company maintains FAA Part 145 repair station certifications and EASA approvals for both turbine engine and component services. PEM-AIR also holds UK CAA approval for engine services and maintains an ISO 9001:2015 certified quality management system for component services.</w:t>
      </w:r>
    </w:p>
    <w:p>
      <w:pPr>
        <w:pStyle w:val="PEMBody"/>
      </w:pPr>
      <w:r>
        <w:t>Certification and compliance highlights include:</w:t>
      </w:r>
    </w:p>
    <w:p>
      <w:pPr>
        <w:pStyle w:val="ListBullet"/>
      </w:pPr>
      <w:r>
        <w:t>FAA Part 145 repair station approvals supporting engine and component work scopes</w:t>
      </w:r>
    </w:p>
    <w:p>
      <w:pPr>
        <w:pStyle w:val="ListBullet"/>
      </w:pPr>
      <w:r>
        <w:t>EASA Part 145 approvals supporting engine and component services</w:t>
      </w:r>
    </w:p>
    <w:p>
      <w:pPr>
        <w:pStyle w:val="ListBullet"/>
      </w:pPr>
      <w:r>
        <w:t>UK CAA approval supporting engine services</w:t>
      </w:r>
    </w:p>
    <w:p>
      <w:pPr>
        <w:pStyle w:val="ListBullet"/>
      </w:pPr>
      <w:r>
        <w:t>FAA/EASA dual release capability for applicable work scopes</w:t>
      </w:r>
    </w:p>
    <w:p>
      <w:pPr>
        <w:pStyle w:val="ListBullet"/>
      </w:pPr>
      <w:r>
        <w:t>ISO 9001:2015 certified quality management system for component services</w:t>
      </w:r>
    </w:p>
    <w:p>
      <w:pPr>
        <w:jc w:val="center"/>
      </w:pPr>
      <w:r>
        <w:drawing>
          <wp:inline xmlns:a="http://schemas.openxmlformats.org/drawingml/2006/main" xmlns:pic="http://schemas.openxmlformats.org/drawingml/2006/picture">
            <wp:extent cx="6126480" cy="4083299"/>
            <wp:docPr id="17" name="Picture 17"/>
            <wp:cNvGraphicFramePr>
              <a:graphicFrameLocks noChangeAspect="1"/>
            </wp:cNvGraphicFramePr>
            <a:graphic>
              <a:graphicData uri="http://schemas.openxmlformats.org/drawingml/2006/picture">
                <pic:pic>
                  <pic:nvPicPr>
                    <pic:cNvPr id="0" name="marketing_00170.png"/>
                    <pic:cNvPicPr/>
                  </pic:nvPicPr>
                  <pic:blipFill>
                    <a:blip r:embed="rId17"/>
                    <a:stretch>
                      <a:fillRect/>
                    </a:stretch>
                  </pic:blipFill>
                  <pic:spPr>
                    <a:xfrm>
                      <a:off x="0" y="0"/>
                      <a:ext cx="6126480" cy="4083299"/>
                    </a:xfrm>
                    <a:prstGeom prst="rect"/>
                  </pic:spPr>
                </pic:pic>
              </a:graphicData>
            </a:graphic>
          </wp:inline>
        </w:drawing>
      </w:r>
    </w:p>
    <w:p>
      <w:pPr>
        <w:pStyle w:val="PEMSmall"/>
        <w:jc w:val="center"/>
      </w:pPr>
      <w:r>
        <w:t>Quality and compliance are at the core of PEM-AIR operations</w:t>
      </w:r>
    </w:p>
    <w:tbl>
      <w:tblPr>
        <w:tblW w:type="auto" w:w="0"/>
        <w:tblLook w:firstColumn="1" w:firstRow="1" w:lastColumn="0" w:lastRow="0" w:noHBand="0" w:noVBand="1" w:val="04A0"/>
      </w:tblPr>
      <w:tblGrid>
        <w:gridCol w:w="4874"/>
        <w:gridCol w:w="4874"/>
      </w:tblGrid>
      <w:tr>
        <w:tc>
          <w:tcPr>
            <w:tcW w:type="dxa" w:w="4874"/>
          </w:tcPr>
          <w:p>
            <w:pPr>
              <w:jc w:val="center"/>
            </w:pPr>
            <w:r>
              <w:drawing>
                <wp:inline xmlns:a="http://schemas.openxmlformats.org/drawingml/2006/main" xmlns:pic="http://schemas.openxmlformats.org/drawingml/2006/picture">
                  <wp:extent cx="2926080" cy="3786692"/>
                  <wp:docPr id="18" name="Picture 18"/>
                  <wp:cNvGraphicFramePr>
                    <a:graphicFrameLocks noChangeAspect="1"/>
                  </wp:cNvGraphicFramePr>
                  <a:graphic>
                    <a:graphicData uri="http://schemas.openxmlformats.org/drawingml/2006/picture">
                      <pic:pic>
                        <pic:nvPicPr>
                          <pic:cNvPr id="0" name="cert_faa_engine-1.png"/>
                          <pic:cNvPicPr/>
                        </pic:nvPicPr>
                        <pic:blipFill>
                          <a:blip r:embed="rId25"/>
                          <a:stretch>
                            <a:fillRect/>
                          </a:stretch>
                        </pic:blipFill>
                        <pic:spPr>
                          <a:xfrm>
                            <a:off x="0" y="0"/>
                            <a:ext cx="2926080" cy="3786692"/>
                          </a:xfrm>
                          <a:prstGeom prst="rect"/>
                        </pic:spPr>
                      </pic:pic>
                    </a:graphicData>
                  </a:graphic>
                </wp:inline>
              </w:drawing>
            </w:r>
          </w:p>
        </w:tc>
        <w:tc>
          <w:tcPr>
            <w:tcW w:type="dxa" w:w="4874"/>
          </w:tcPr>
          <w:p>
            <w:pPr>
              <w:jc w:val="center"/>
            </w:pPr>
            <w:r>
              <w:drawing>
                <wp:inline xmlns:a="http://schemas.openxmlformats.org/drawingml/2006/main" xmlns:pic="http://schemas.openxmlformats.org/drawingml/2006/picture">
                  <wp:extent cx="2926080" cy="3786692"/>
                  <wp:docPr id="19" name="Picture 19"/>
                  <wp:cNvGraphicFramePr>
                    <a:graphicFrameLocks noChangeAspect="1"/>
                  </wp:cNvGraphicFramePr>
                  <a:graphic>
                    <a:graphicData uri="http://schemas.openxmlformats.org/drawingml/2006/picture">
                      <pic:pic>
                        <pic:nvPicPr>
                          <pic:cNvPr id="0" name="cert_easa_engine-1.png"/>
                          <pic:cNvPicPr/>
                        </pic:nvPicPr>
                        <pic:blipFill>
                          <a:blip r:embed="rId26"/>
                          <a:stretch>
                            <a:fillRect/>
                          </a:stretch>
                        </pic:blipFill>
                        <pic:spPr>
                          <a:xfrm>
                            <a:off x="0" y="0"/>
                            <a:ext cx="2926080" cy="3786692"/>
                          </a:xfrm>
                          <a:prstGeom prst="rect"/>
                        </pic:spPr>
                      </pic:pic>
                    </a:graphicData>
                  </a:graphic>
                </wp:inline>
              </w:drawing>
            </w:r>
          </w:p>
        </w:tc>
      </w:tr>
      <w:tr>
        <w:tc>
          <w:tcPr>
            <w:tcW w:type="dxa" w:w="4874"/>
          </w:tcPr>
          <w:p>
            <w:pPr>
              <w:jc w:val="center"/>
            </w:pPr>
            <w:r>
              <w:drawing>
                <wp:inline xmlns:a="http://schemas.openxmlformats.org/drawingml/2006/main" xmlns:pic="http://schemas.openxmlformats.org/drawingml/2006/picture">
                  <wp:extent cx="2926080" cy="4136140"/>
                  <wp:docPr id="20" name="Picture 20"/>
                  <wp:cNvGraphicFramePr>
                    <a:graphicFrameLocks noChangeAspect="1"/>
                  </wp:cNvGraphicFramePr>
                  <a:graphic>
                    <a:graphicData uri="http://schemas.openxmlformats.org/drawingml/2006/picture">
                      <pic:pic>
                        <pic:nvPicPr>
                          <pic:cNvPr id="0" name="cert_ukcaa_engine-1.png"/>
                          <pic:cNvPicPr/>
                        </pic:nvPicPr>
                        <pic:blipFill>
                          <a:blip r:embed="rId27"/>
                          <a:stretch>
                            <a:fillRect/>
                          </a:stretch>
                        </pic:blipFill>
                        <pic:spPr>
                          <a:xfrm>
                            <a:off x="0" y="0"/>
                            <a:ext cx="2926080" cy="4136140"/>
                          </a:xfrm>
                          <a:prstGeom prst="rect"/>
                        </pic:spPr>
                      </pic:pic>
                    </a:graphicData>
                  </a:graphic>
                </wp:inline>
              </w:drawing>
            </w:r>
          </w:p>
        </w:tc>
        <w:tc>
          <w:tcPr>
            <w:tcW w:type="dxa" w:w="4874"/>
          </w:tcPr>
          <w:p>
            <w:pPr>
              <w:jc w:val="center"/>
            </w:pPr>
            <w:r>
              <w:drawing>
                <wp:inline xmlns:a="http://schemas.openxmlformats.org/drawingml/2006/main" xmlns:pic="http://schemas.openxmlformats.org/drawingml/2006/picture">
                  <wp:extent cx="2926080" cy="3786692"/>
                  <wp:docPr id="21" name="Picture 21"/>
                  <wp:cNvGraphicFramePr>
                    <a:graphicFrameLocks noChangeAspect="1"/>
                  </wp:cNvGraphicFramePr>
                  <a:graphic>
                    <a:graphicData uri="http://schemas.openxmlformats.org/drawingml/2006/picture">
                      <pic:pic>
                        <pic:nvPicPr>
                          <pic:cNvPr id="0" name="cert_faa_components-1.png"/>
                          <pic:cNvPicPr/>
                        </pic:nvPicPr>
                        <pic:blipFill>
                          <a:blip r:embed="rId28"/>
                          <a:stretch>
                            <a:fillRect/>
                          </a:stretch>
                        </pic:blipFill>
                        <pic:spPr>
                          <a:xfrm>
                            <a:off x="0" y="0"/>
                            <a:ext cx="2926080" cy="3786692"/>
                          </a:xfrm>
                          <a:prstGeom prst="rect"/>
                        </pic:spPr>
                      </pic:pic>
                    </a:graphicData>
                  </a:graphic>
                </wp:inline>
              </w:drawing>
            </w:r>
          </w:p>
        </w:tc>
      </w:tr>
      <w:tr>
        <w:tc>
          <w:tcPr>
            <w:tcW w:type="dxa" w:w="4874"/>
          </w:tcPr>
          <w:p>
            <w:pPr>
              <w:jc w:val="center"/>
            </w:pPr>
            <w:r>
              <w:drawing>
                <wp:inline xmlns:a="http://schemas.openxmlformats.org/drawingml/2006/main" xmlns:pic="http://schemas.openxmlformats.org/drawingml/2006/picture">
                  <wp:extent cx="2926080" cy="3786692"/>
                  <wp:docPr id="22" name="Picture 22"/>
                  <wp:cNvGraphicFramePr>
                    <a:graphicFrameLocks noChangeAspect="1"/>
                  </wp:cNvGraphicFramePr>
                  <a:graphic>
                    <a:graphicData uri="http://schemas.openxmlformats.org/drawingml/2006/picture">
                      <pic:pic>
                        <pic:nvPicPr>
                          <pic:cNvPr id="0" name="cert_easa_components-1.png"/>
                          <pic:cNvPicPr/>
                        </pic:nvPicPr>
                        <pic:blipFill>
                          <a:blip r:embed="rId29"/>
                          <a:stretch>
                            <a:fillRect/>
                          </a:stretch>
                        </pic:blipFill>
                        <pic:spPr>
                          <a:xfrm>
                            <a:off x="0" y="0"/>
                            <a:ext cx="2926080" cy="3786692"/>
                          </a:xfrm>
                          <a:prstGeom prst="rect"/>
                        </pic:spPr>
                      </pic:pic>
                    </a:graphicData>
                  </a:graphic>
                </wp:inline>
              </w:drawing>
            </w:r>
          </w:p>
        </w:tc>
        <w:tc>
          <w:tcPr>
            <w:tcW w:type="dxa" w:w="4874"/>
          </w:tcPr>
          <w:p>
            <w:pPr>
              <w:jc w:val="center"/>
            </w:pPr>
            <w:r>
              <w:drawing>
                <wp:inline xmlns:a="http://schemas.openxmlformats.org/drawingml/2006/main" xmlns:pic="http://schemas.openxmlformats.org/drawingml/2006/picture">
                  <wp:extent cx="2926080" cy="3786692"/>
                  <wp:docPr id="23" name="Picture 23"/>
                  <wp:cNvGraphicFramePr>
                    <a:graphicFrameLocks noChangeAspect="1"/>
                  </wp:cNvGraphicFramePr>
                  <a:graphic>
                    <a:graphicData uri="http://schemas.openxmlformats.org/drawingml/2006/picture">
                      <pic:pic>
                        <pic:nvPicPr>
                          <pic:cNvPr id="0" name="cert_iso9001-1.png"/>
                          <pic:cNvPicPr/>
                        </pic:nvPicPr>
                        <pic:blipFill>
                          <a:blip r:embed="rId30"/>
                          <a:stretch>
                            <a:fillRect/>
                          </a:stretch>
                        </pic:blipFill>
                        <pic:spPr>
                          <a:xfrm>
                            <a:off x="0" y="0"/>
                            <a:ext cx="2926080" cy="3786692"/>
                          </a:xfrm>
                          <a:prstGeom prst="rect"/>
                        </pic:spPr>
                      </pic:pic>
                    </a:graphicData>
                  </a:graphic>
                </wp:inline>
              </w:drawing>
            </w:r>
          </w:p>
        </w:tc>
      </w:tr>
    </w:tbl>
    <w:p>
      <w:pPr>
        <w:pStyle w:val="PEMSmall"/>
      </w:pPr>
      <w:r>
        <w:t>Full-size certificate copies are provided in the Appendices.</w:t>
      </w:r>
    </w:p>
    <w:p>
      <w:r>
        <w:br w:type="page"/>
      </w:r>
    </w:p>
    <w:p>
      <w:pPr>
        <w:pStyle w:val="PEMH1"/>
      </w:pPr>
      <w:r>
        <w:t>6. Technical Excellence &amp; MRO Approach</w:t>
      </w:r>
    </w:p>
    <w:p>
      <w:pPr>
        <w:pStyle w:val="PEMBody"/>
      </w:pPr>
      <w:r>
        <w:t>Modern turbine engine maintenance demands disciplined inspection, repeatable processes, and meticulous documentation. PEM-AIR’s approach blends practical field experience with a structured MRO workflow to help customers manage reliability, performance, and cost.</w:t>
      </w:r>
    </w:p>
    <w:p>
      <w:pPr>
        <w:pStyle w:val="PEMH2"/>
      </w:pPr>
      <w:r>
        <w:t>6.1 End-to-End Maintenance Lifecycle</w:t>
      </w:r>
    </w:p>
    <w:p>
      <w:pPr>
        <w:pStyle w:val="PEMBody"/>
      </w:pPr>
      <w:r>
        <w:t>A typical engine event integrates induction planning, disassembly, cleaning, inspection, repair, reassembly, testing, and release-to-service documentation. PEM-AIR aligns these steps to reduce turnaround time while maintaining compliance and traceability.</w:t>
      </w:r>
    </w:p>
    <w:tbl>
      <w:tblPr>
        <w:tblW w:type="auto" w:w="0"/>
        <w:tblLook w:firstColumn="1" w:firstRow="1" w:lastColumn="0" w:lastRow="0" w:noHBand="0" w:noVBand="1" w:val="04A0"/>
      </w:tblPr>
      <w:tblGrid>
        <w:gridCol w:w="1393"/>
        <w:gridCol w:w="1393"/>
        <w:gridCol w:w="1393"/>
        <w:gridCol w:w="1393"/>
        <w:gridCol w:w="1393"/>
        <w:gridCol w:w="1393"/>
        <w:gridCol w:w="1393"/>
      </w:tblGrid>
      <w:tr>
        <w:tc>
          <w:tcPr>
            <w:tcW w:type="dxa" w:w="1393"/>
          </w:tcPr>
          <w:p>
            <w:r>
              <w:rPr>
                <w:b/>
                <w:color w:val="0B2E5C"/>
              </w:rPr>
              <w:t>Induction &amp; Planning</w:t>
            </w:r>
          </w:p>
        </w:tc>
        <w:tc>
          <w:tcPr>
            <w:tcW w:type="dxa" w:w="1393"/>
          </w:tcPr>
          <w:p>
            <w:r>
              <w:rPr>
                <w:b/>
                <w:color w:val="0B2E5C"/>
              </w:rPr>
              <w:t>Disassembly</w:t>
            </w:r>
          </w:p>
        </w:tc>
        <w:tc>
          <w:tcPr>
            <w:tcW w:type="dxa" w:w="1393"/>
          </w:tcPr>
          <w:p>
            <w:r>
              <w:rPr>
                <w:b/>
                <w:color w:val="0B2E5C"/>
              </w:rPr>
              <w:t>Cleaning</w:t>
            </w:r>
          </w:p>
        </w:tc>
        <w:tc>
          <w:tcPr>
            <w:tcW w:type="dxa" w:w="1393"/>
          </w:tcPr>
          <w:p>
            <w:r>
              <w:rPr>
                <w:b/>
                <w:color w:val="0B2E5C"/>
              </w:rPr>
              <w:t>Inspection</w:t>
            </w:r>
          </w:p>
        </w:tc>
        <w:tc>
          <w:tcPr>
            <w:tcW w:type="dxa" w:w="1393"/>
          </w:tcPr>
          <w:p>
            <w:r>
              <w:rPr>
                <w:b/>
                <w:color w:val="0B2E5C"/>
              </w:rPr>
              <w:t>Repair &amp; Overhaul</w:t>
            </w:r>
          </w:p>
        </w:tc>
        <w:tc>
          <w:tcPr>
            <w:tcW w:type="dxa" w:w="1393"/>
          </w:tcPr>
          <w:p>
            <w:r>
              <w:rPr>
                <w:b/>
                <w:color w:val="0B2E5C"/>
              </w:rPr>
              <w:t>Reassembly</w:t>
            </w:r>
          </w:p>
        </w:tc>
        <w:tc>
          <w:tcPr>
            <w:tcW w:type="dxa" w:w="1393"/>
          </w:tcPr>
          <w:p>
            <w:r>
              <w:rPr>
                <w:b/>
                <w:color w:val="0B2E5C"/>
              </w:rPr>
              <w:t>Test &amp; Release</w:t>
            </w:r>
          </w:p>
        </w:tc>
      </w:tr>
      <w:tr>
        <w:tc>
          <w:tcPr>
            <w:tcW w:type="dxa" w:w="1393"/>
          </w:tcPr>
          <w:p>
            <w:r>
              <w:t>Records review, workscope definition</w:t>
            </w:r>
          </w:p>
        </w:tc>
        <w:tc>
          <w:tcPr>
            <w:tcW w:type="dxa" w:w="1393"/>
          </w:tcPr>
          <w:p>
            <w:r>
              <w:t>Module separation and hardware control</w:t>
            </w:r>
          </w:p>
        </w:tc>
        <w:tc>
          <w:tcPr>
            <w:tcW w:type="dxa" w:w="1393"/>
          </w:tcPr>
          <w:p>
            <w:r>
              <w:t>Preparation for inspection and repair</w:t>
            </w:r>
          </w:p>
        </w:tc>
        <w:tc>
          <w:tcPr>
            <w:tcW w:type="dxa" w:w="1393"/>
          </w:tcPr>
          <w:p>
            <w:r>
              <w:t>Borescope, digital measurement, NDT</w:t>
            </w:r>
          </w:p>
        </w:tc>
        <w:tc>
          <w:tcPr>
            <w:tcW w:type="dxa" w:w="1393"/>
          </w:tcPr>
          <w:p>
            <w:r>
              <w:t>Approved repairs, module changes, AD/SB</w:t>
            </w:r>
          </w:p>
        </w:tc>
        <w:tc>
          <w:tcPr>
            <w:tcW w:type="dxa" w:w="1393"/>
          </w:tcPr>
          <w:p>
            <w:r>
              <w:t>Rigging, torque, dimensional control</w:t>
            </w:r>
          </w:p>
        </w:tc>
        <w:tc>
          <w:tcPr>
            <w:tcW w:type="dxa" w:w="1393"/>
          </w:tcPr>
          <w:p>
            <w:r>
              <w:t>MPA / balance checks; documentation</w:t>
            </w:r>
          </w:p>
        </w:tc>
      </w:tr>
    </w:tbl>
    <w:p>
      <w:pPr>
        <w:pStyle w:val="PEMH2"/>
      </w:pPr>
      <w:r>
        <w:t>6.2 Field Maintenance Technical Features</w:t>
      </w:r>
    </w:p>
    <w:p>
      <w:pPr>
        <w:pStyle w:val="PEMBody"/>
      </w:pPr>
      <w:r>
        <w:t>Field maintenance and hospital visit scopes often focus on recovering performance quickly and safely. Typical technical elements include borescope inspection, gas path restoration, VSV/VBV rigging, rotor balancing support, and targeted LRU/module changes.</w:t>
      </w:r>
    </w:p>
    <w:p>
      <w:pPr>
        <w:jc w:val="center"/>
      </w:pPr>
      <w:r>
        <w:drawing>
          <wp:inline xmlns:a="http://schemas.openxmlformats.org/drawingml/2006/main" xmlns:pic="http://schemas.openxmlformats.org/drawingml/2006/picture">
            <wp:extent cx="6126480" cy="4084320"/>
            <wp:docPr id="24" name="Picture 24"/>
            <wp:cNvGraphicFramePr>
              <a:graphicFrameLocks noChangeAspect="1"/>
            </wp:cNvGraphicFramePr>
            <a:graphic>
              <a:graphicData uri="http://schemas.openxmlformats.org/drawingml/2006/picture">
                <pic:pic>
                  <pic:nvPicPr>
                    <pic:cNvPr id="0" name="exploitation.png"/>
                    <pic:cNvPicPr/>
                  </pic:nvPicPr>
                  <pic:blipFill>
                    <a:blip r:embed="rId31"/>
                    <a:stretch>
                      <a:fillRect/>
                    </a:stretch>
                  </pic:blipFill>
                  <pic:spPr>
                    <a:xfrm>
                      <a:off x="0" y="0"/>
                      <a:ext cx="6126480" cy="4084320"/>
                    </a:xfrm>
                    <a:prstGeom prst="rect"/>
                  </pic:spPr>
                </pic:pic>
              </a:graphicData>
            </a:graphic>
          </wp:inline>
        </w:drawing>
      </w:r>
    </w:p>
    <w:p>
      <w:pPr>
        <w:pStyle w:val="PEMSmall"/>
        <w:jc w:val="center"/>
      </w:pPr>
      <w:r>
        <w:t>Field execution supports rapid, controlled return-to-service outcomes</w:t>
      </w:r>
    </w:p>
    <w:p>
      <w:pPr>
        <w:pStyle w:val="PEMH2"/>
      </w:pPr>
      <w:r>
        <w:t>6.3 Testing, Verification &amp; Reliability Focus</w:t>
      </w:r>
    </w:p>
    <w:p>
      <w:pPr>
        <w:pStyle w:val="PEMBody"/>
      </w:pPr>
      <w:r>
        <w:t>On-wing testing and MPA runs verify thrust capability and can detect balance, vibration, or systems issues. Verification activities reduce risk after maintenance events and support dependable service entry.</w:t>
      </w:r>
    </w:p>
    <w:p>
      <w:pPr>
        <w:jc w:val="center"/>
      </w:pPr>
      <w:r>
        <w:drawing>
          <wp:inline xmlns:a="http://schemas.openxmlformats.org/drawingml/2006/main" xmlns:pic="http://schemas.openxmlformats.org/drawingml/2006/picture">
            <wp:extent cx="6126480" cy="4076151"/>
            <wp:docPr id="25" name="Picture 25"/>
            <wp:cNvGraphicFramePr>
              <a:graphicFrameLocks noChangeAspect="1"/>
            </wp:cNvGraphicFramePr>
            <a:graphic>
              <a:graphicData uri="http://schemas.openxmlformats.org/drawingml/2006/picture">
                <pic:pic>
                  <pic:nvPicPr>
                    <pic:cNvPr id="0" name="open_engine.png"/>
                    <pic:cNvPicPr/>
                  </pic:nvPicPr>
                  <pic:blipFill>
                    <a:blip r:embed="rId11"/>
                    <a:stretch>
                      <a:fillRect/>
                    </a:stretch>
                  </pic:blipFill>
                  <pic:spPr>
                    <a:xfrm>
                      <a:off x="0" y="0"/>
                      <a:ext cx="6126480" cy="4076151"/>
                    </a:xfrm>
                    <a:prstGeom prst="rect"/>
                  </pic:spPr>
                </pic:pic>
              </a:graphicData>
            </a:graphic>
          </wp:inline>
        </w:drawing>
      </w:r>
    </w:p>
    <w:p>
      <w:pPr>
        <w:pStyle w:val="PEMSmall"/>
        <w:jc w:val="center"/>
      </w:pPr>
      <w:r>
        <w:t>Verification and testing support safety and reliability</w:t>
      </w:r>
    </w:p>
    <w:p>
      <w:pPr>
        <w:pStyle w:val="PEMH2"/>
      </w:pPr>
      <w:r>
        <w:t>6.4 Component Protection &amp; Handling Discipline</w:t>
      </w:r>
    </w:p>
    <w:p>
      <w:pPr>
        <w:pStyle w:val="PEMBody"/>
      </w:pPr>
      <w:r>
        <w:t>Protection during transport and handling reduces risk of rework and improves reliability outcomes. PEM-AIR supports component integrity with custom packaging solutions—including 3D‑printed protective covers—plus extensive in‑house test stand capability.</w:t>
      </w:r>
    </w:p>
    <w:p>
      <w:r>
        <w:br w:type="page"/>
      </w:r>
    </w:p>
    <w:p>
      <w:pPr>
        <w:pStyle w:val="PEMH1"/>
      </w:pPr>
      <w:r>
        <w:t>7. Contact Information</w:t>
      </w:r>
    </w:p>
    <w:p>
      <w:pPr>
        <w:pStyle w:val="PEMBody"/>
      </w:pPr>
      <w:r>
        <w:t>For quotations, technical coordination, or additional information, please contact PEM-AIR:</w:t>
      </w:r>
    </w:p>
    <w:tbl>
      <w:tblPr>
        <w:tblStyle w:val="TableGrid"/>
        <w:tblW w:type="auto" w:w="0"/>
        <w:tblLook w:firstColumn="1" w:firstRow="1" w:lastColumn="0" w:lastRow="0" w:noHBand="0" w:noVBand="1" w:val="04A0"/>
      </w:tblPr>
      <w:tblGrid>
        <w:gridCol w:w="4874"/>
        <w:gridCol w:w="4874"/>
      </w:tblGrid>
      <w:tr>
        <w:tc>
          <w:tcPr>
            <w:tcW w:type="dxa" w:w="4874"/>
          </w:tcPr>
          <w:p>
            <w:r>
              <w:rPr>
                <w:b/>
                <w:color w:val="0B2E5C"/>
              </w:rPr>
              <w:t>Main phone</w:t>
            </w:r>
          </w:p>
        </w:tc>
        <w:tc>
          <w:tcPr>
            <w:tcW w:type="dxa" w:w="4874"/>
          </w:tcPr>
          <w:p>
            <w:r>
              <w:t>+1 (352) 663-8688</w:t>
            </w:r>
          </w:p>
        </w:tc>
      </w:tr>
      <w:tr>
        <w:tc>
          <w:tcPr>
            <w:tcW w:type="dxa" w:w="4874"/>
          </w:tcPr>
          <w:p>
            <w:r>
              <w:rPr>
                <w:b/>
                <w:color w:val="0B2E5C"/>
              </w:rPr>
              <w:t>Fax</w:t>
            </w:r>
          </w:p>
        </w:tc>
        <w:tc>
          <w:tcPr>
            <w:tcW w:type="dxa" w:w="4874"/>
          </w:tcPr>
          <w:p>
            <w:r>
              <w:t>+1 (954) 321-8998</w:t>
            </w:r>
          </w:p>
        </w:tc>
      </w:tr>
      <w:tr>
        <w:tc>
          <w:tcPr>
            <w:tcW w:type="dxa" w:w="4874"/>
          </w:tcPr>
          <w:p>
            <w:r>
              <w:rPr>
                <w:b/>
                <w:color w:val="0B2E5C"/>
              </w:rPr>
              <w:t>Service email</w:t>
            </w:r>
          </w:p>
        </w:tc>
        <w:tc>
          <w:tcPr>
            <w:tcW w:type="dxa" w:w="4874"/>
          </w:tcPr>
          <w:p>
            <w:r>
              <w:t>service@pem-air.com</w:t>
            </w:r>
          </w:p>
        </w:tc>
      </w:tr>
      <w:tr>
        <w:tc>
          <w:tcPr>
            <w:tcW w:type="dxa" w:w="4874"/>
          </w:tcPr>
          <w:p>
            <w:r>
              <w:rPr>
                <w:b/>
                <w:color w:val="0B2E5C"/>
              </w:rPr>
              <w:t>AOG support email</w:t>
            </w:r>
          </w:p>
        </w:tc>
        <w:tc>
          <w:tcPr>
            <w:tcW w:type="dxa" w:w="4874"/>
          </w:tcPr>
          <w:p>
            <w:r>
              <w:t>aog@pem-air.com</w:t>
            </w:r>
          </w:p>
        </w:tc>
      </w:tr>
      <w:tr>
        <w:tc>
          <w:tcPr>
            <w:tcW w:type="dxa" w:w="4874"/>
          </w:tcPr>
          <w:p>
            <w:r>
              <w:rPr>
                <w:b/>
                <w:color w:val="0B2E5C"/>
              </w:rPr>
              <w:t>Websites</w:t>
            </w:r>
          </w:p>
        </w:tc>
        <w:tc>
          <w:tcPr>
            <w:tcW w:type="dxa" w:w="4874"/>
          </w:tcPr>
          <w:p>
            <w:r>
              <w:t>pem-air.com • pem-airturbine.com</w:t>
            </w:r>
          </w:p>
        </w:tc>
      </w:tr>
      <w:tr>
        <w:tc>
          <w:tcPr>
            <w:tcW w:type="dxa" w:w="4874"/>
          </w:tcPr>
          <w:p>
            <w:r>
              <w:rPr>
                <w:b/>
                <w:color w:val="0B2E5C"/>
              </w:rPr>
              <w:t>Turbine Engine Services (Brooksville, FL)</w:t>
            </w:r>
          </w:p>
        </w:tc>
        <w:tc>
          <w:tcPr>
            <w:tcW w:type="dxa" w:w="4874"/>
          </w:tcPr>
          <w:p>
            <w:r>
              <w:t>15741 Technology Drive, Brooksville, Florida 34604, USA</w:t>
            </w:r>
          </w:p>
        </w:tc>
      </w:tr>
      <w:tr>
        <w:tc>
          <w:tcPr>
            <w:tcW w:type="dxa" w:w="4874"/>
          </w:tcPr>
          <w:p>
            <w:r>
              <w:rPr>
                <w:b/>
                <w:color w:val="0B2E5C"/>
              </w:rPr>
              <w:t>Component Services (Davie, FL)</w:t>
            </w:r>
          </w:p>
        </w:tc>
        <w:tc>
          <w:tcPr>
            <w:tcW w:type="dxa" w:w="4874"/>
          </w:tcPr>
          <w:p>
            <w:r>
              <w:t>5921 SW 44th Court, Davie, Florida 33314, USA</w:t>
            </w:r>
          </w:p>
        </w:tc>
      </w:tr>
    </w:tbl>
    <w:p>
      <w:pPr>
        <w:pStyle w:val="PEMSmall"/>
      </w:pPr>
      <w:r>
        <w:t>This profile is compiled from PEM-AIR published materials and certificates. For the latest capability scope and approvals, please contact PEM-AIR directly.</w:t>
      </w:r>
    </w:p>
    <w:p>
      <w:r>
        <w:br w:type="page"/>
      </w:r>
    </w:p>
    <w:p>
      <w:pPr>
        <w:pStyle w:val="PEMH1"/>
      </w:pPr>
      <w:r>
        <w:t>8. Appendices (Certificates &amp; Presentation)</w:t>
      </w:r>
    </w:p>
    <w:p>
      <w:pPr>
        <w:pStyle w:val="PEMH2"/>
      </w:pPr>
      <w:r>
        <w:t>8.1 Certifications – Full Copies</w:t>
      </w:r>
    </w:p>
    <w:p>
      <w:pPr>
        <w:pStyle w:val="PEMBody"/>
      </w:pPr>
      <w:r>
        <w:t>FAA Engine Repair Station Certificate</w:t>
      </w:r>
    </w:p>
    <w:p>
      <w:pPr>
        <w:jc w:val="center"/>
      </w:pPr>
      <w:r>
        <w:drawing>
          <wp:inline xmlns:a="http://schemas.openxmlformats.org/drawingml/2006/main" xmlns:pic="http://schemas.openxmlformats.org/drawingml/2006/picture">
            <wp:extent cx="6309360" cy="8165054"/>
            <wp:docPr id="26" name="Picture 26"/>
            <wp:cNvGraphicFramePr>
              <a:graphicFrameLocks noChangeAspect="1"/>
            </wp:cNvGraphicFramePr>
            <a:graphic>
              <a:graphicData uri="http://schemas.openxmlformats.org/drawingml/2006/picture">
                <pic:pic>
                  <pic:nvPicPr>
                    <pic:cNvPr id="0" name="cert_faa_engine-1.png"/>
                    <pic:cNvPicPr/>
                  </pic:nvPicPr>
                  <pic:blipFill>
                    <a:blip r:embed="rId25"/>
                    <a:stretch>
                      <a:fillRect/>
                    </a:stretch>
                  </pic:blipFill>
                  <pic:spPr>
                    <a:xfrm>
                      <a:off x="0" y="0"/>
                      <a:ext cx="6309360" cy="8165054"/>
                    </a:xfrm>
                    <a:prstGeom prst="rect"/>
                  </pic:spPr>
                </pic:pic>
              </a:graphicData>
            </a:graphic>
          </wp:inline>
        </w:drawing>
      </w:r>
    </w:p>
    <w:p>
      <w:r>
        <w:br w:type="page"/>
      </w:r>
    </w:p>
    <w:p>
      <w:pPr>
        <w:pStyle w:val="PEMBody"/>
      </w:pPr>
      <w:r>
        <w:t>EASA Part 145 Approval – Engine</w:t>
      </w:r>
    </w:p>
    <w:p>
      <w:pPr>
        <w:jc w:val="center"/>
      </w:pPr>
      <w:r>
        <w:drawing>
          <wp:inline xmlns:a="http://schemas.openxmlformats.org/drawingml/2006/main" xmlns:pic="http://schemas.openxmlformats.org/drawingml/2006/picture">
            <wp:extent cx="6309360" cy="8165054"/>
            <wp:docPr id="27" name="Picture 27"/>
            <wp:cNvGraphicFramePr>
              <a:graphicFrameLocks noChangeAspect="1"/>
            </wp:cNvGraphicFramePr>
            <a:graphic>
              <a:graphicData uri="http://schemas.openxmlformats.org/drawingml/2006/picture">
                <pic:pic>
                  <pic:nvPicPr>
                    <pic:cNvPr id="0" name="cert_easa_engine-1.png"/>
                    <pic:cNvPicPr/>
                  </pic:nvPicPr>
                  <pic:blipFill>
                    <a:blip r:embed="rId26"/>
                    <a:stretch>
                      <a:fillRect/>
                    </a:stretch>
                  </pic:blipFill>
                  <pic:spPr>
                    <a:xfrm>
                      <a:off x="0" y="0"/>
                      <a:ext cx="6309360" cy="8165054"/>
                    </a:xfrm>
                    <a:prstGeom prst="rect"/>
                  </pic:spPr>
                </pic:pic>
              </a:graphicData>
            </a:graphic>
          </wp:inline>
        </w:drawing>
      </w:r>
    </w:p>
    <w:p>
      <w:r>
        <w:br w:type="page"/>
      </w:r>
    </w:p>
    <w:p>
      <w:pPr>
        <w:pStyle w:val="PEMBody"/>
      </w:pPr>
      <w:r>
        <w:t>UK CAA Part 145 Approval – Engine</w:t>
      </w:r>
    </w:p>
    <w:p>
      <w:pPr>
        <w:jc w:val="center"/>
      </w:pPr>
      <w:r>
        <w:drawing>
          <wp:inline xmlns:a="http://schemas.openxmlformats.org/drawingml/2006/main" xmlns:pic="http://schemas.openxmlformats.org/drawingml/2006/picture">
            <wp:extent cx="6309360" cy="8918551"/>
            <wp:docPr id="28" name="Picture 28"/>
            <wp:cNvGraphicFramePr>
              <a:graphicFrameLocks noChangeAspect="1"/>
            </wp:cNvGraphicFramePr>
            <a:graphic>
              <a:graphicData uri="http://schemas.openxmlformats.org/drawingml/2006/picture">
                <pic:pic>
                  <pic:nvPicPr>
                    <pic:cNvPr id="0" name="cert_ukcaa_engine-1.png"/>
                    <pic:cNvPicPr/>
                  </pic:nvPicPr>
                  <pic:blipFill>
                    <a:blip r:embed="rId27"/>
                    <a:stretch>
                      <a:fillRect/>
                    </a:stretch>
                  </pic:blipFill>
                  <pic:spPr>
                    <a:xfrm>
                      <a:off x="0" y="0"/>
                      <a:ext cx="6309360" cy="8918551"/>
                    </a:xfrm>
                    <a:prstGeom prst="rect"/>
                  </pic:spPr>
                </pic:pic>
              </a:graphicData>
            </a:graphic>
          </wp:inline>
        </w:drawing>
      </w:r>
    </w:p>
    <w:p>
      <w:r>
        <w:br w:type="page"/>
      </w:r>
    </w:p>
    <w:p>
      <w:pPr>
        <w:pStyle w:val="PEMBody"/>
      </w:pPr>
      <w:r>
        <w:t>FAA Unlimited Class 1/2/3 – Components &amp; Accessories</w:t>
      </w:r>
    </w:p>
    <w:p>
      <w:pPr>
        <w:jc w:val="center"/>
      </w:pPr>
      <w:r>
        <w:drawing>
          <wp:inline xmlns:a="http://schemas.openxmlformats.org/drawingml/2006/main" xmlns:pic="http://schemas.openxmlformats.org/drawingml/2006/picture">
            <wp:extent cx="6309360" cy="8165054"/>
            <wp:docPr id="29" name="Picture 29"/>
            <wp:cNvGraphicFramePr>
              <a:graphicFrameLocks noChangeAspect="1"/>
            </wp:cNvGraphicFramePr>
            <a:graphic>
              <a:graphicData uri="http://schemas.openxmlformats.org/drawingml/2006/picture">
                <pic:pic>
                  <pic:nvPicPr>
                    <pic:cNvPr id="0" name="cert_faa_components-1.png"/>
                    <pic:cNvPicPr/>
                  </pic:nvPicPr>
                  <pic:blipFill>
                    <a:blip r:embed="rId28"/>
                    <a:stretch>
                      <a:fillRect/>
                    </a:stretch>
                  </pic:blipFill>
                  <pic:spPr>
                    <a:xfrm>
                      <a:off x="0" y="0"/>
                      <a:ext cx="6309360" cy="8165054"/>
                    </a:xfrm>
                    <a:prstGeom prst="rect"/>
                  </pic:spPr>
                </pic:pic>
              </a:graphicData>
            </a:graphic>
          </wp:inline>
        </w:drawing>
      </w:r>
    </w:p>
    <w:p>
      <w:r>
        <w:br w:type="page"/>
      </w:r>
    </w:p>
    <w:p>
      <w:pPr>
        <w:pStyle w:val="PEMBody"/>
      </w:pPr>
      <w:r>
        <w:t>EASA Part 145 Approval – Components &amp; Accessories</w:t>
      </w:r>
    </w:p>
    <w:p>
      <w:pPr>
        <w:jc w:val="center"/>
      </w:pPr>
      <w:r>
        <w:drawing>
          <wp:inline xmlns:a="http://schemas.openxmlformats.org/drawingml/2006/main" xmlns:pic="http://schemas.openxmlformats.org/drawingml/2006/picture">
            <wp:extent cx="6309360" cy="8165054"/>
            <wp:docPr id="30" name="Picture 30"/>
            <wp:cNvGraphicFramePr>
              <a:graphicFrameLocks noChangeAspect="1"/>
            </wp:cNvGraphicFramePr>
            <a:graphic>
              <a:graphicData uri="http://schemas.openxmlformats.org/drawingml/2006/picture">
                <pic:pic>
                  <pic:nvPicPr>
                    <pic:cNvPr id="0" name="cert_easa_components-1.png"/>
                    <pic:cNvPicPr/>
                  </pic:nvPicPr>
                  <pic:blipFill>
                    <a:blip r:embed="rId29"/>
                    <a:stretch>
                      <a:fillRect/>
                    </a:stretch>
                  </pic:blipFill>
                  <pic:spPr>
                    <a:xfrm>
                      <a:off x="0" y="0"/>
                      <a:ext cx="6309360" cy="8165054"/>
                    </a:xfrm>
                    <a:prstGeom prst="rect"/>
                  </pic:spPr>
                </pic:pic>
              </a:graphicData>
            </a:graphic>
          </wp:inline>
        </w:drawing>
      </w:r>
    </w:p>
    <w:p>
      <w:r>
        <w:br w:type="page"/>
      </w:r>
    </w:p>
    <w:p>
      <w:pPr>
        <w:pStyle w:val="PEMBody"/>
      </w:pPr>
      <w:r>
        <w:t>ISO 9001:2015 – Component Services</w:t>
      </w:r>
    </w:p>
    <w:p>
      <w:pPr>
        <w:jc w:val="center"/>
      </w:pPr>
      <w:r>
        <w:drawing>
          <wp:inline xmlns:a="http://schemas.openxmlformats.org/drawingml/2006/main" xmlns:pic="http://schemas.openxmlformats.org/drawingml/2006/picture">
            <wp:extent cx="6309360" cy="8165054"/>
            <wp:docPr id="31" name="Picture 31"/>
            <wp:cNvGraphicFramePr>
              <a:graphicFrameLocks noChangeAspect="1"/>
            </wp:cNvGraphicFramePr>
            <a:graphic>
              <a:graphicData uri="http://schemas.openxmlformats.org/drawingml/2006/picture">
                <pic:pic>
                  <pic:nvPicPr>
                    <pic:cNvPr id="0" name="cert_iso9001-1.png"/>
                    <pic:cNvPicPr/>
                  </pic:nvPicPr>
                  <pic:blipFill>
                    <a:blip r:embed="rId30"/>
                    <a:stretch>
                      <a:fillRect/>
                    </a:stretch>
                  </pic:blipFill>
                  <pic:spPr>
                    <a:xfrm>
                      <a:off x="0" y="0"/>
                      <a:ext cx="6309360" cy="8165054"/>
                    </a:xfrm>
                    <a:prstGeom prst="rect"/>
                  </pic:spPr>
                </pic:pic>
              </a:graphicData>
            </a:graphic>
          </wp:inline>
        </w:drawing>
      </w:r>
    </w:p>
    <w:p>
      <w:r>
        <w:br w:type="page"/>
      </w:r>
    </w:p>
    <w:p>
      <w:pPr>
        <w:pStyle w:val="PEMH2"/>
      </w:pPr>
      <w:r>
        <w:t>8.2 Engine MRO Presentation (Attachment)</w:t>
      </w:r>
    </w:p>
    <w:p>
      <w:pPr>
        <w:pStyle w:val="PEMBody"/>
      </w:pPr>
      <w:r>
        <w:t>The following pages reproduce the provided PEM-AIR Engine MRO presentation as an integrated appendix.</w:t>
      </w:r>
    </w:p>
    <w:p>
      <w:pPr>
        <w:jc w:val="center"/>
      </w:pPr>
      <w:r>
        <w:drawing>
          <wp:inline xmlns:a="http://schemas.openxmlformats.org/drawingml/2006/main" xmlns:pic="http://schemas.openxmlformats.org/drawingml/2006/picture">
            <wp:extent cx="6309360" cy="3549015"/>
            <wp:docPr id="32" name="Picture 32"/>
            <wp:cNvGraphicFramePr>
              <a:graphicFrameLocks noChangeAspect="1"/>
            </wp:cNvGraphicFramePr>
            <a:graphic>
              <a:graphicData uri="http://schemas.openxmlformats.org/drawingml/2006/picture">
                <pic:pic>
                  <pic:nvPicPr>
                    <pic:cNvPr id="0" name="slide-1.png"/>
                    <pic:cNvPicPr/>
                  </pic:nvPicPr>
                  <pic:blipFill>
                    <a:blip r:embed="rId32"/>
                    <a:stretch>
                      <a:fillRect/>
                    </a:stretch>
                  </pic:blipFill>
                  <pic:spPr>
                    <a:xfrm>
                      <a:off x="0" y="0"/>
                      <a:ext cx="6309360" cy="3549015"/>
                    </a:xfrm>
                    <a:prstGeom prst="rect"/>
                  </pic:spPr>
                </pic:pic>
              </a:graphicData>
            </a:graphic>
          </wp:inline>
        </w:drawing>
      </w:r>
    </w:p>
    <w:p>
      <w:r>
        <w:br w:type="page"/>
      </w:r>
    </w:p>
    <w:p>
      <w:pPr>
        <w:jc w:val="center"/>
      </w:pPr>
      <w:r>
        <w:drawing>
          <wp:inline xmlns:a="http://schemas.openxmlformats.org/drawingml/2006/main" xmlns:pic="http://schemas.openxmlformats.org/drawingml/2006/picture">
            <wp:extent cx="6309360" cy="3549015"/>
            <wp:docPr id="33" name="Picture 33"/>
            <wp:cNvGraphicFramePr>
              <a:graphicFrameLocks noChangeAspect="1"/>
            </wp:cNvGraphicFramePr>
            <a:graphic>
              <a:graphicData uri="http://schemas.openxmlformats.org/drawingml/2006/picture">
                <pic:pic>
                  <pic:nvPicPr>
                    <pic:cNvPr id="0" name="slide-2.png"/>
                    <pic:cNvPicPr/>
                  </pic:nvPicPr>
                  <pic:blipFill>
                    <a:blip r:embed="rId33"/>
                    <a:stretch>
                      <a:fillRect/>
                    </a:stretch>
                  </pic:blipFill>
                  <pic:spPr>
                    <a:xfrm>
                      <a:off x="0" y="0"/>
                      <a:ext cx="6309360" cy="3549015"/>
                    </a:xfrm>
                    <a:prstGeom prst="rect"/>
                  </pic:spPr>
                </pic:pic>
              </a:graphicData>
            </a:graphic>
          </wp:inline>
        </w:drawing>
      </w:r>
    </w:p>
    <w:p>
      <w:r>
        <w:br w:type="page"/>
      </w:r>
    </w:p>
    <w:p>
      <w:pPr>
        <w:jc w:val="center"/>
      </w:pPr>
      <w:r>
        <w:drawing>
          <wp:inline xmlns:a="http://schemas.openxmlformats.org/drawingml/2006/main" xmlns:pic="http://schemas.openxmlformats.org/drawingml/2006/picture">
            <wp:extent cx="6309360" cy="3549015"/>
            <wp:docPr id="34" name="Picture 34"/>
            <wp:cNvGraphicFramePr>
              <a:graphicFrameLocks noChangeAspect="1"/>
            </wp:cNvGraphicFramePr>
            <a:graphic>
              <a:graphicData uri="http://schemas.openxmlformats.org/drawingml/2006/picture">
                <pic:pic>
                  <pic:nvPicPr>
                    <pic:cNvPr id="0" name="slide-3.png"/>
                    <pic:cNvPicPr/>
                  </pic:nvPicPr>
                  <pic:blipFill>
                    <a:blip r:embed="rId34"/>
                    <a:stretch>
                      <a:fillRect/>
                    </a:stretch>
                  </pic:blipFill>
                  <pic:spPr>
                    <a:xfrm>
                      <a:off x="0" y="0"/>
                      <a:ext cx="6309360" cy="3549015"/>
                    </a:xfrm>
                    <a:prstGeom prst="rect"/>
                  </pic:spPr>
                </pic:pic>
              </a:graphicData>
            </a:graphic>
          </wp:inline>
        </w:drawing>
      </w:r>
    </w:p>
    <w:p>
      <w:r>
        <w:br w:type="page"/>
      </w:r>
    </w:p>
    <w:p>
      <w:pPr>
        <w:jc w:val="center"/>
      </w:pPr>
      <w:r>
        <w:drawing>
          <wp:inline xmlns:a="http://schemas.openxmlformats.org/drawingml/2006/main" xmlns:pic="http://schemas.openxmlformats.org/drawingml/2006/picture">
            <wp:extent cx="6309360" cy="3549015"/>
            <wp:docPr id="35" name="Picture 35"/>
            <wp:cNvGraphicFramePr>
              <a:graphicFrameLocks noChangeAspect="1"/>
            </wp:cNvGraphicFramePr>
            <a:graphic>
              <a:graphicData uri="http://schemas.openxmlformats.org/drawingml/2006/picture">
                <pic:pic>
                  <pic:nvPicPr>
                    <pic:cNvPr id="0" name="slide-4.png"/>
                    <pic:cNvPicPr/>
                  </pic:nvPicPr>
                  <pic:blipFill>
                    <a:blip r:embed="rId35"/>
                    <a:stretch>
                      <a:fillRect/>
                    </a:stretch>
                  </pic:blipFill>
                  <pic:spPr>
                    <a:xfrm>
                      <a:off x="0" y="0"/>
                      <a:ext cx="6309360" cy="3549015"/>
                    </a:xfrm>
                    <a:prstGeom prst="rect"/>
                  </pic:spPr>
                </pic:pic>
              </a:graphicData>
            </a:graphic>
          </wp:inline>
        </w:drawing>
      </w:r>
    </w:p>
    <w:p>
      <w:r>
        <w:br w:type="page"/>
      </w:r>
    </w:p>
    <w:p>
      <w:pPr>
        <w:jc w:val="center"/>
      </w:pPr>
      <w:r>
        <w:drawing>
          <wp:inline xmlns:a="http://schemas.openxmlformats.org/drawingml/2006/main" xmlns:pic="http://schemas.openxmlformats.org/drawingml/2006/picture">
            <wp:extent cx="6309360" cy="3549015"/>
            <wp:docPr id="36" name="Picture 36"/>
            <wp:cNvGraphicFramePr>
              <a:graphicFrameLocks noChangeAspect="1"/>
            </wp:cNvGraphicFramePr>
            <a:graphic>
              <a:graphicData uri="http://schemas.openxmlformats.org/drawingml/2006/picture">
                <pic:pic>
                  <pic:nvPicPr>
                    <pic:cNvPr id="0" name="slide-5.png"/>
                    <pic:cNvPicPr/>
                  </pic:nvPicPr>
                  <pic:blipFill>
                    <a:blip r:embed="rId36"/>
                    <a:stretch>
                      <a:fillRect/>
                    </a:stretch>
                  </pic:blipFill>
                  <pic:spPr>
                    <a:xfrm>
                      <a:off x="0" y="0"/>
                      <a:ext cx="6309360" cy="3549015"/>
                    </a:xfrm>
                    <a:prstGeom prst="rect"/>
                  </pic:spPr>
                </pic:pic>
              </a:graphicData>
            </a:graphic>
          </wp:inline>
        </w:drawing>
      </w:r>
    </w:p>
    <w:p>
      <w:r>
        <w:br w:type="page"/>
      </w:r>
    </w:p>
    <w:p>
      <w:pPr>
        <w:jc w:val="center"/>
      </w:pPr>
      <w:r>
        <w:drawing>
          <wp:inline xmlns:a="http://schemas.openxmlformats.org/drawingml/2006/main" xmlns:pic="http://schemas.openxmlformats.org/drawingml/2006/picture">
            <wp:extent cx="6309360" cy="3549015"/>
            <wp:docPr id="37" name="Picture 37"/>
            <wp:cNvGraphicFramePr>
              <a:graphicFrameLocks noChangeAspect="1"/>
            </wp:cNvGraphicFramePr>
            <a:graphic>
              <a:graphicData uri="http://schemas.openxmlformats.org/drawingml/2006/picture">
                <pic:pic>
                  <pic:nvPicPr>
                    <pic:cNvPr id="0" name="slide-6.png"/>
                    <pic:cNvPicPr/>
                  </pic:nvPicPr>
                  <pic:blipFill>
                    <a:blip r:embed="rId37"/>
                    <a:stretch>
                      <a:fillRect/>
                    </a:stretch>
                  </pic:blipFill>
                  <pic:spPr>
                    <a:xfrm>
                      <a:off x="0" y="0"/>
                      <a:ext cx="6309360" cy="3549015"/>
                    </a:xfrm>
                    <a:prstGeom prst="rect"/>
                  </pic:spPr>
                </pic:pic>
              </a:graphicData>
            </a:graphic>
          </wp:inline>
        </w:drawing>
      </w:r>
    </w:p>
    <w:p>
      <w:r>
        <w:br w:type="page"/>
      </w:r>
    </w:p>
    <w:p>
      <w:pPr>
        <w:jc w:val="center"/>
      </w:pPr>
      <w:r>
        <w:drawing>
          <wp:inline xmlns:a="http://schemas.openxmlformats.org/drawingml/2006/main" xmlns:pic="http://schemas.openxmlformats.org/drawingml/2006/picture">
            <wp:extent cx="6309360" cy="3549015"/>
            <wp:docPr id="38" name="Picture 38"/>
            <wp:cNvGraphicFramePr>
              <a:graphicFrameLocks noChangeAspect="1"/>
            </wp:cNvGraphicFramePr>
            <a:graphic>
              <a:graphicData uri="http://schemas.openxmlformats.org/drawingml/2006/picture">
                <pic:pic>
                  <pic:nvPicPr>
                    <pic:cNvPr id="0" name="slide-7.png"/>
                    <pic:cNvPicPr/>
                  </pic:nvPicPr>
                  <pic:blipFill>
                    <a:blip r:embed="rId38"/>
                    <a:stretch>
                      <a:fillRect/>
                    </a:stretch>
                  </pic:blipFill>
                  <pic:spPr>
                    <a:xfrm>
                      <a:off x="0" y="0"/>
                      <a:ext cx="6309360" cy="3549015"/>
                    </a:xfrm>
                    <a:prstGeom prst="rect"/>
                  </pic:spPr>
                </pic:pic>
              </a:graphicData>
            </a:graphic>
          </wp:inline>
        </w:drawing>
      </w:r>
    </w:p>
    <w:p>
      <w:r>
        <w:br w:type="page"/>
      </w:r>
    </w:p>
    <w:p>
      <w:pPr>
        <w:jc w:val="center"/>
      </w:pPr>
      <w:r>
        <w:drawing>
          <wp:inline xmlns:a="http://schemas.openxmlformats.org/drawingml/2006/main" xmlns:pic="http://schemas.openxmlformats.org/drawingml/2006/picture">
            <wp:extent cx="6309360" cy="3549015"/>
            <wp:docPr id="39" name="Picture 39"/>
            <wp:cNvGraphicFramePr>
              <a:graphicFrameLocks noChangeAspect="1"/>
            </wp:cNvGraphicFramePr>
            <a:graphic>
              <a:graphicData uri="http://schemas.openxmlformats.org/drawingml/2006/picture">
                <pic:pic>
                  <pic:nvPicPr>
                    <pic:cNvPr id="0" name="slide-8.png"/>
                    <pic:cNvPicPr/>
                  </pic:nvPicPr>
                  <pic:blipFill>
                    <a:blip r:embed="rId39"/>
                    <a:stretch>
                      <a:fillRect/>
                    </a:stretch>
                  </pic:blipFill>
                  <pic:spPr>
                    <a:xfrm>
                      <a:off x="0" y="0"/>
                      <a:ext cx="6309360" cy="3549015"/>
                    </a:xfrm>
                    <a:prstGeom prst="rect"/>
                  </pic:spPr>
                </pic:pic>
              </a:graphicData>
            </a:graphic>
          </wp:inline>
        </w:drawing>
      </w:r>
    </w:p>
    <w:p>
      <w:r>
        <w:br w:type="page"/>
      </w:r>
    </w:p>
    <w:p>
      <w:pPr>
        <w:jc w:val="center"/>
      </w:pPr>
      <w:r>
        <w:drawing>
          <wp:inline xmlns:a="http://schemas.openxmlformats.org/drawingml/2006/main" xmlns:pic="http://schemas.openxmlformats.org/drawingml/2006/picture">
            <wp:extent cx="6309360" cy="3549015"/>
            <wp:docPr id="40" name="Picture 40"/>
            <wp:cNvGraphicFramePr>
              <a:graphicFrameLocks noChangeAspect="1"/>
            </wp:cNvGraphicFramePr>
            <a:graphic>
              <a:graphicData uri="http://schemas.openxmlformats.org/drawingml/2006/picture">
                <pic:pic>
                  <pic:nvPicPr>
                    <pic:cNvPr id="0" name="slide-9.png"/>
                    <pic:cNvPicPr/>
                  </pic:nvPicPr>
                  <pic:blipFill>
                    <a:blip r:embed="rId40"/>
                    <a:stretch>
                      <a:fillRect/>
                    </a:stretch>
                  </pic:blipFill>
                  <pic:spPr>
                    <a:xfrm>
                      <a:off x="0" y="0"/>
                      <a:ext cx="6309360" cy="3549015"/>
                    </a:xfrm>
                    <a:prstGeom prst="rect"/>
                  </pic:spPr>
                </pic:pic>
              </a:graphicData>
            </a:graphic>
          </wp:inline>
        </w:drawing>
      </w:r>
    </w:p>
    <w:sectPr w:rsidR="00FC693F" w:rsidRPr="0006063C" w:rsidSect="00034616">
      <w:footerReference w:type="default" r:id="rId9"/>
      <w:pgSz w:w="11909" w:h="16834"/>
      <w:pgMar w:top="1080" w:right="1080" w:bottom="1080" w:left="108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m="http://schemas.openxmlformats.org/officeDocument/2006/math" xmlns:mc="http://schemas.openxmlformats.org/markup-compatibility/2006" xmlns:mo="http://schemas.microsoft.com/office/mac/office/2008/main" xmlns:mv="urn:schemas-microsoft-com:mac:vml" xmlns:o="urn:schemas-microsoft-com:office:office" xmlns:r="http://schemas.openxmlformats.org/officeDocument/2006/relationships" xmlns:v="urn:schemas-microsoft-com:vml" xmlns:w10="urn:schemas-microsoft-com:office:word" xmlns:w14="http://schemas.microsoft.com/office/word/2010/wordml" xmlns:w="http://schemas.openxmlformats.org/wordprocessingml/2006/main" xmlns:wne="http://schemas.microsoft.com/office/word/2006/wordml" xmlns:wp14="http://schemas.microsoft.com/office/word/2010/wordprocessingDrawing" xmlns:wp="http://schemas.openxmlformats.org/drawingml/2006/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p14">
  <w:p>
    <w:pPr>
      <w:pStyle w:val="PEMSmall"/>
      <w:jc w:val="center"/>
    </w:pPr>
    <w:r>
      <w:t xml:space="preserve">PEM-AIR  |  pem-air.com  |  </w:t>
    </w:r>
    <w:r>
      <w:fldChar w:fldCharType="begin"/>
      <w:instrText xml:space="preserve">PAGE</w:instrText>
      <w:fldChar w:fldCharType="end"/>
    </w:r>
  </w:p>
</w:ft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rPr>
      <w:rFonts w:ascii="Calibri" w:hAnsi="Calibri"/>
      <w:sz w:val="22"/>
    </w:rPr>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rPr>
      <w:rFonts w:ascii="Calibri" w:hAnsi="Calibri"/>
      <w:sz w:val="22"/>
    </w:r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customStyle="1" w:styleId="PEMTitle">
    <w:name w:val="PEM Title"/>
    <w:basedOn w:val="Normal"/>
    <w:pPr>
      <w:spacing w:before="0" w:after="200" w:line="240" w:lineRule="auto"/>
    </w:pPr>
    <w:rPr>
      <w:rFonts w:ascii="Calibri" w:hAnsi="Calibri"/>
      <w:b/>
      <w:caps w:val="0"/>
      <w:color w:val="0B2E5C"/>
      <w:sz w:val="64"/>
    </w:rPr>
  </w:style>
  <w:style w:type="paragraph" w:customStyle="1" w:styleId="PEMSubtitle">
    <w:name w:val="PEM Subtitle"/>
    <w:basedOn w:val="Normal"/>
    <w:pPr>
      <w:spacing w:before="0" w:after="240" w:line="276" w:lineRule="auto"/>
    </w:pPr>
    <w:rPr>
      <w:rFonts w:ascii="Calibri" w:hAnsi="Calibri"/>
      <w:b w:val="0"/>
      <w:caps w:val="0"/>
      <w:color w:val="1F66B1"/>
      <w:sz w:val="28"/>
    </w:rPr>
  </w:style>
  <w:style w:type="paragraph" w:customStyle="1" w:styleId="PEMH1">
    <w:name w:val="PEM H1"/>
    <w:basedOn w:val="Normal"/>
    <w:pPr>
      <w:spacing w:before="280" w:after="120" w:line="276" w:lineRule="auto"/>
    </w:pPr>
    <w:rPr>
      <w:rFonts w:ascii="Calibri" w:hAnsi="Calibri"/>
      <w:b/>
      <w:caps w:val="0"/>
      <w:color w:val="0B2E5C"/>
      <w:sz w:val="36"/>
    </w:rPr>
  </w:style>
  <w:style w:type="paragraph" w:customStyle="1" w:styleId="PEMH2">
    <w:name w:val="PEM H2"/>
    <w:basedOn w:val="Normal"/>
    <w:pPr>
      <w:spacing w:before="200" w:after="80" w:line="276" w:lineRule="auto"/>
    </w:pPr>
    <w:rPr>
      <w:rFonts w:ascii="Calibri" w:hAnsi="Calibri"/>
      <w:b/>
      <w:caps w:val="0"/>
      <w:color w:val="0B2E5C"/>
      <w:sz w:val="28"/>
    </w:rPr>
  </w:style>
  <w:style w:type="paragraph" w:customStyle="1" w:styleId="PEMBody">
    <w:name w:val="PEM Body"/>
    <w:basedOn w:val="Normal"/>
    <w:pPr>
      <w:spacing w:before="0" w:after="120" w:line="276" w:lineRule="auto"/>
    </w:pPr>
    <w:rPr>
      <w:rFonts w:ascii="Calibri" w:hAnsi="Calibri"/>
      <w:b w:val="0"/>
      <w:caps w:val="0"/>
      <w:sz w:val="22"/>
    </w:rPr>
  </w:style>
  <w:style w:type="paragraph" w:customStyle="1" w:styleId="PEMSmall">
    <w:name w:val="PEM Small"/>
    <w:basedOn w:val="Normal"/>
    <w:pPr>
      <w:spacing w:before="0" w:after="60" w:line="240" w:lineRule="auto"/>
    </w:pPr>
    <w:rPr>
      <w:rFonts w:ascii="Calibri" w:hAnsi="Calibri"/>
      <w:b w:val="0"/>
      <w:caps w:val="0"/>
      <w:color w:val="444444"/>
      <w:sz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footer" Target="footer1.xml"/><Relationship Id="rId10" Type="http://schemas.openxmlformats.org/officeDocument/2006/relationships/image" Target="media/image1.png"/><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jpg"/><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jp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png"/><Relationship Id="rId33" Type="http://schemas.openxmlformats.org/officeDocument/2006/relationships/image" Target="media/image24.png"/><Relationship Id="rId34" Type="http://schemas.openxmlformats.org/officeDocument/2006/relationships/image" Target="media/image25.png"/><Relationship Id="rId35" Type="http://schemas.openxmlformats.org/officeDocument/2006/relationships/image" Target="media/image26.png"/><Relationship Id="rId36" Type="http://schemas.openxmlformats.org/officeDocument/2006/relationships/image" Target="media/image27.png"/><Relationship Id="rId37" Type="http://schemas.openxmlformats.org/officeDocument/2006/relationships/image" Target="media/image28.png"/><Relationship Id="rId38" Type="http://schemas.openxmlformats.org/officeDocument/2006/relationships/image" Target="media/image29.png"/><Relationship Id="rId39" Type="http://schemas.openxmlformats.org/officeDocument/2006/relationships/image" Target="media/image30.png"/><Relationship Id="rId40"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